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EB33" w14:textId="77777777" w:rsidR="00991A0A" w:rsidRPr="00E648C6" w:rsidRDefault="00991A0A" w:rsidP="002E3A7C">
      <w:pPr>
        <w:spacing w:before="240" w:after="240"/>
        <w:jc w:val="center"/>
        <w:outlineLvl w:val="0"/>
        <w:rPr>
          <w:rFonts w:asciiTheme="minorHAnsi" w:hAnsiTheme="minorHAnsi" w:cstheme="minorHAnsi"/>
          <w:b/>
          <w:smallCaps/>
          <w:sz w:val="22"/>
          <w:szCs w:val="22"/>
        </w:rPr>
      </w:pPr>
      <w:bookmarkStart w:id="0" w:name="Name"/>
    </w:p>
    <w:p w14:paraId="10C4D7DF" w14:textId="69CCBB0A" w:rsidR="0020314D" w:rsidRPr="00E648C6" w:rsidRDefault="00CB5023" w:rsidP="00CE44E5">
      <w:pPr>
        <w:spacing w:before="240" w:after="240"/>
        <w:jc w:val="center"/>
        <w:outlineLvl w:val="0"/>
        <w:rPr>
          <w:rFonts w:asciiTheme="minorHAnsi" w:hAnsiTheme="minorHAnsi" w:cstheme="minorHAnsi"/>
          <w:b/>
          <w:smallCaps/>
          <w:sz w:val="22"/>
          <w:szCs w:val="22"/>
        </w:rPr>
      </w:pPr>
      <w:bookmarkStart w:id="1" w:name="_Toc48159108"/>
      <w:bookmarkStart w:id="2" w:name="_Toc48159283"/>
      <w:r w:rsidRPr="00E648C6">
        <w:rPr>
          <w:rFonts w:asciiTheme="minorHAnsi" w:hAnsiTheme="minorHAnsi" w:cstheme="minorHAnsi"/>
          <w:b/>
          <w:smallCaps/>
          <w:sz w:val="22"/>
          <w:szCs w:val="22"/>
        </w:rPr>
        <w:t>THE CROWN COURT AT ISLEWORTH</w:t>
      </w:r>
      <w:bookmarkEnd w:id="0"/>
      <w:bookmarkEnd w:id="1"/>
      <w:bookmarkEnd w:id="2"/>
    </w:p>
    <w:p w14:paraId="40902A7E" w14:textId="77777777" w:rsidR="0000443E" w:rsidRPr="00E648C6" w:rsidRDefault="0000443E" w:rsidP="002E3A7C">
      <w:pPr>
        <w:spacing w:before="240" w:after="240"/>
        <w:rPr>
          <w:rFonts w:asciiTheme="minorHAnsi" w:hAnsiTheme="minorHAnsi" w:cstheme="minorHAnsi"/>
        </w:rPr>
      </w:pPr>
    </w:p>
    <w:p w14:paraId="5271BA41" w14:textId="74433F91" w:rsidR="003D6586" w:rsidRPr="00E648C6" w:rsidRDefault="00A41167" w:rsidP="00CE44E5">
      <w:pPr>
        <w:pStyle w:val="Heading1"/>
        <w:rPr>
          <w:rFonts w:asciiTheme="minorHAnsi" w:hAnsiTheme="minorHAnsi" w:cstheme="minorHAnsi"/>
        </w:rPr>
      </w:pPr>
      <w:bookmarkStart w:id="3" w:name="NameAndAddress"/>
      <w:bookmarkStart w:id="4" w:name="_Toc48159109"/>
      <w:bookmarkStart w:id="5" w:name="_Toc48159284"/>
      <w:bookmarkEnd w:id="3"/>
      <w:r>
        <w:rPr>
          <w:rFonts w:asciiTheme="minorHAnsi" w:hAnsiTheme="minorHAnsi" w:cstheme="minorHAnsi"/>
        </w:rPr>
        <w:t xml:space="preserve">The Plan for </w:t>
      </w:r>
      <w:r w:rsidR="00CF6F31" w:rsidRPr="00E648C6">
        <w:rPr>
          <w:rFonts w:asciiTheme="minorHAnsi" w:hAnsiTheme="minorHAnsi" w:cstheme="minorHAnsi"/>
        </w:rPr>
        <w:t>Autumn 2020</w:t>
      </w:r>
      <w:bookmarkEnd w:id="4"/>
      <w:bookmarkEnd w:id="5"/>
    </w:p>
    <w:p w14:paraId="2B323F93" w14:textId="325D1494" w:rsidR="003D6586" w:rsidRDefault="003D6586" w:rsidP="002E3A7C">
      <w:pPr>
        <w:spacing w:before="240" w:after="240"/>
        <w:ind w:left="720" w:hanging="360"/>
        <w:jc w:val="both"/>
        <w:rPr>
          <w:rFonts w:asciiTheme="minorHAnsi" w:hAnsiTheme="minorHAnsi" w:cstheme="minorHAnsi"/>
        </w:rPr>
      </w:pPr>
    </w:p>
    <w:sdt>
      <w:sdtPr>
        <w:rPr>
          <w:rFonts w:ascii="Georgia" w:eastAsia="Georgia" w:hAnsi="Georgia" w:cs="Georgia"/>
          <w:b w:val="0"/>
          <w:bCs w:val="0"/>
          <w:color w:val="auto"/>
          <w:sz w:val="24"/>
          <w:szCs w:val="24"/>
          <w:lang w:val="en-GB" w:eastAsia="ja-JP"/>
        </w:rPr>
        <w:id w:val="1105926439"/>
        <w:docPartObj>
          <w:docPartGallery w:val="Table of Contents"/>
          <w:docPartUnique/>
        </w:docPartObj>
      </w:sdtPr>
      <w:sdtEndPr>
        <w:rPr>
          <w:noProof/>
        </w:rPr>
      </w:sdtEndPr>
      <w:sdtContent>
        <w:p w14:paraId="421D0A79" w14:textId="4B76A06F" w:rsidR="00A41167" w:rsidRDefault="00A41167">
          <w:pPr>
            <w:pStyle w:val="TOCHeading"/>
          </w:pPr>
          <w:r>
            <w:t>Table of Contents</w:t>
          </w:r>
        </w:p>
        <w:p w14:paraId="148DEF18" w14:textId="29BEFF9E" w:rsidR="003A0D39" w:rsidRDefault="00A41167" w:rsidP="00FB4AC9">
          <w:pPr>
            <w:pStyle w:val="TOC1"/>
            <w:tabs>
              <w:tab w:val="right" w:leader="dot" w:pos="9061"/>
            </w:tabs>
            <w:rPr>
              <w:rFonts w:eastAsiaTheme="minorEastAsia" w:cstheme="minorBidi"/>
              <w:b w:val="0"/>
              <w:bCs w:val="0"/>
              <w:noProof/>
              <w:lang w:eastAsia="en-GB"/>
            </w:rPr>
          </w:pPr>
          <w:r>
            <w:rPr>
              <w:b w:val="0"/>
              <w:bCs w:val="0"/>
            </w:rPr>
            <w:fldChar w:fldCharType="begin"/>
          </w:r>
          <w:r>
            <w:instrText xml:space="preserve"> TOC \o "1-3" \h \z \u </w:instrText>
          </w:r>
          <w:r>
            <w:rPr>
              <w:b w:val="0"/>
              <w:bCs w:val="0"/>
            </w:rPr>
            <w:fldChar w:fldCharType="separate"/>
          </w:r>
          <w:hyperlink w:anchor="_Toc48159285" w:history="1">
            <w:r w:rsidR="003A0D39" w:rsidRPr="00CF7792">
              <w:rPr>
                <w:rStyle w:val="Hyperlink"/>
                <w:noProof/>
              </w:rPr>
              <w:t>The Plan for trials</w:t>
            </w:r>
            <w:r w:rsidR="003A0D39">
              <w:rPr>
                <w:noProof/>
                <w:webHidden/>
              </w:rPr>
              <w:tab/>
            </w:r>
            <w:r w:rsidR="003A0D39">
              <w:rPr>
                <w:noProof/>
                <w:webHidden/>
              </w:rPr>
              <w:fldChar w:fldCharType="begin"/>
            </w:r>
            <w:r w:rsidR="003A0D39">
              <w:rPr>
                <w:noProof/>
                <w:webHidden/>
              </w:rPr>
              <w:instrText xml:space="preserve"> PAGEREF _Toc48159285 \h </w:instrText>
            </w:r>
            <w:r w:rsidR="003A0D39">
              <w:rPr>
                <w:noProof/>
                <w:webHidden/>
              </w:rPr>
            </w:r>
            <w:r w:rsidR="003A0D39">
              <w:rPr>
                <w:noProof/>
                <w:webHidden/>
              </w:rPr>
              <w:fldChar w:fldCharType="separate"/>
            </w:r>
            <w:r w:rsidR="00932933">
              <w:rPr>
                <w:noProof/>
                <w:webHidden/>
              </w:rPr>
              <w:t>1</w:t>
            </w:r>
            <w:r w:rsidR="003A0D39">
              <w:rPr>
                <w:noProof/>
                <w:webHidden/>
              </w:rPr>
              <w:fldChar w:fldCharType="end"/>
            </w:r>
          </w:hyperlink>
        </w:p>
        <w:p w14:paraId="241A2005" w14:textId="390D571A" w:rsidR="003A0D39" w:rsidRDefault="00681D84">
          <w:pPr>
            <w:pStyle w:val="TOC2"/>
            <w:tabs>
              <w:tab w:val="right" w:leader="dot" w:pos="9061"/>
            </w:tabs>
            <w:rPr>
              <w:rFonts w:eastAsiaTheme="minorEastAsia" w:cstheme="minorBidi"/>
              <w:b w:val="0"/>
              <w:bCs w:val="0"/>
              <w:noProof/>
              <w:sz w:val="24"/>
              <w:szCs w:val="24"/>
              <w:lang w:eastAsia="en-GB"/>
            </w:rPr>
          </w:pPr>
          <w:hyperlink w:anchor="_Toc48159286" w:history="1">
            <w:r w:rsidR="003A0D39" w:rsidRPr="00CF7792">
              <w:rPr>
                <w:rStyle w:val="Hyperlink"/>
                <w:noProof/>
              </w:rPr>
              <w:t>Listing of Trials</w:t>
            </w:r>
            <w:r w:rsidR="003A0D39">
              <w:rPr>
                <w:noProof/>
                <w:webHidden/>
              </w:rPr>
              <w:tab/>
            </w:r>
            <w:r w:rsidR="003A0D39">
              <w:rPr>
                <w:noProof/>
                <w:webHidden/>
              </w:rPr>
              <w:fldChar w:fldCharType="begin"/>
            </w:r>
            <w:r w:rsidR="003A0D39">
              <w:rPr>
                <w:noProof/>
                <w:webHidden/>
              </w:rPr>
              <w:instrText xml:space="preserve"> PAGEREF _Toc48159286 \h </w:instrText>
            </w:r>
            <w:r w:rsidR="003A0D39">
              <w:rPr>
                <w:noProof/>
                <w:webHidden/>
              </w:rPr>
            </w:r>
            <w:r w:rsidR="003A0D39">
              <w:rPr>
                <w:noProof/>
                <w:webHidden/>
              </w:rPr>
              <w:fldChar w:fldCharType="separate"/>
            </w:r>
            <w:r w:rsidR="00932933">
              <w:rPr>
                <w:noProof/>
                <w:webHidden/>
              </w:rPr>
              <w:t>2</w:t>
            </w:r>
            <w:r w:rsidR="003A0D39">
              <w:rPr>
                <w:noProof/>
                <w:webHidden/>
              </w:rPr>
              <w:fldChar w:fldCharType="end"/>
            </w:r>
          </w:hyperlink>
        </w:p>
        <w:p w14:paraId="194B316A" w14:textId="3233EEC2" w:rsidR="003A0D39" w:rsidRDefault="00681D84">
          <w:pPr>
            <w:pStyle w:val="TOC2"/>
            <w:tabs>
              <w:tab w:val="right" w:leader="dot" w:pos="9061"/>
            </w:tabs>
            <w:rPr>
              <w:rFonts w:eastAsiaTheme="minorEastAsia" w:cstheme="minorBidi"/>
              <w:b w:val="0"/>
              <w:bCs w:val="0"/>
              <w:noProof/>
              <w:sz w:val="24"/>
              <w:szCs w:val="24"/>
              <w:lang w:eastAsia="en-GB"/>
            </w:rPr>
          </w:pPr>
          <w:hyperlink w:anchor="_Toc48159287" w:history="1">
            <w:r w:rsidR="003A0D39" w:rsidRPr="00CF7792">
              <w:rPr>
                <w:rStyle w:val="Hyperlink"/>
                <w:noProof/>
              </w:rPr>
              <w:t>Personal Attendance at non-trial Hearings</w:t>
            </w:r>
            <w:r w:rsidR="003A0D39">
              <w:rPr>
                <w:noProof/>
                <w:webHidden/>
              </w:rPr>
              <w:tab/>
            </w:r>
            <w:r w:rsidR="003A0D39">
              <w:rPr>
                <w:noProof/>
                <w:webHidden/>
              </w:rPr>
              <w:fldChar w:fldCharType="begin"/>
            </w:r>
            <w:r w:rsidR="003A0D39">
              <w:rPr>
                <w:noProof/>
                <w:webHidden/>
              </w:rPr>
              <w:instrText xml:space="preserve"> PAGEREF _Toc48159287 \h </w:instrText>
            </w:r>
            <w:r w:rsidR="003A0D39">
              <w:rPr>
                <w:noProof/>
                <w:webHidden/>
              </w:rPr>
            </w:r>
            <w:r w:rsidR="003A0D39">
              <w:rPr>
                <w:noProof/>
                <w:webHidden/>
              </w:rPr>
              <w:fldChar w:fldCharType="separate"/>
            </w:r>
            <w:r w:rsidR="00932933">
              <w:rPr>
                <w:noProof/>
                <w:webHidden/>
              </w:rPr>
              <w:t>3</w:t>
            </w:r>
            <w:r w:rsidR="003A0D39">
              <w:rPr>
                <w:noProof/>
                <w:webHidden/>
              </w:rPr>
              <w:fldChar w:fldCharType="end"/>
            </w:r>
          </w:hyperlink>
        </w:p>
        <w:p w14:paraId="74B381ED" w14:textId="23F31021" w:rsidR="003A0D39" w:rsidRDefault="00681D84">
          <w:pPr>
            <w:pStyle w:val="TOC3"/>
            <w:tabs>
              <w:tab w:val="right" w:leader="dot" w:pos="9061"/>
            </w:tabs>
            <w:rPr>
              <w:rFonts w:eastAsiaTheme="minorEastAsia" w:cstheme="minorBidi"/>
              <w:noProof/>
              <w:sz w:val="24"/>
              <w:szCs w:val="24"/>
              <w:lang w:eastAsia="en-GB"/>
            </w:rPr>
          </w:pPr>
          <w:hyperlink w:anchor="_Toc48159288" w:history="1">
            <w:r w:rsidR="003A0D39" w:rsidRPr="00CF7792">
              <w:rPr>
                <w:rStyle w:val="Hyperlink"/>
                <w:noProof/>
              </w:rPr>
              <w:t>Plea and Trial Preparation Hearings</w:t>
            </w:r>
            <w:r w:rsidR="003A0D39">
              <w:rPr>
                <w:noProof/>
                <w:webHidden/>
              </w:rPr>
              <w:tab/>
            </w:r>
            <w:r w:rsidR="003A0D39">
              <w:rPr>
                <w:noProof/>
                <w:webHidden/>
              </w:rPr>
              <w:fldChar w:fldCharType="begin"/>
            </w:r>
            <w:r w:rsidR="003A0D39">
              <w:rPr>
                <w:noProof/>
                <w:webHidden/>
              </w:rPr>
              <w:instrText xml:space="preserve"> PAGEREF _Toc48159288 \h </w:instrText>
            </w:r>
            <w:r w:rsidR="003A0D39">
              <w:rPr>
                <w:noProof/>
                <w:webHidden/>
              </w:rPr>
            </w:r>
            <w:r w:rsidR="003A0D39">
              <w:rPr>
                <w:noProof/>
                <w:webHidden/>
              </w:rPr>
              <w:fldChar w:fldCharType="separate"/>
            </w:r>
            <w:r w:rsidR="00932933">
              <w:rPr>
                <w:noProof/>
                <w:webHidden/>
              </w:rPr>
              <w:t>4</w:t>
            </w:r>
            <w:r w:rsidR="003A0D39">
              <w:rPr>
                <w:noProof/>
                <w:webHidden/>
              </w:rPr>
              <w:fldChar w:fldCharType="end"/>
            </w:r>
          </w:hyperlink>
        </w:p>
        <w:p w14:paraId="258C59CF" w14:textId="08D1E48F" w:rsidR="003A0D39" w:rsidRDefault="00681D84">
          <w:pPr>
            <w:pStyle w:val="TOC3"/>
            <w:tabs>
              <w:tab w:val="right" w:leader="dot" w:pos="9061"/>
            </w:tabs>
            <w:rPr>
              <w:rFonts w:eastAsiaTheme="minorEastAsia" w:cstheme="minorBidi"/>
              <w:noProof/>
              <w:sz w:val="24"/>
              <w:szCs w:val="24"/>
              <w:lang w:eastAsia="en-GB"/>
            </w:rPr>
          </w:pPr>
          <w:hyperlink w:anchor="_Toc48159289" w:history="1">
            <w:r w:rsidR="003A0D39" w:rsidRPr="00CF7792">
              <w:rPr>
                <w:rStyle w:val="Hyperlink"/>
                <w:noProof/>
              </w:rPr>
              <w:t>Sentence Hearings</w:t>
            </w:r>
            <w:r w:rsidR="003A0D39">
              <w:rPr>
                <w:noProof/>
                <w:webHidden/>
              </w:rPr>
              <w:tab/>
            </w:r>
            <w:r w:rsidR="003A0D39">
              <w:rPr>
                <w:noProof/>
                <w:webHidden/>
              </w:rPr>
              <w:fldChar w:fldCharType="begin"/>
            </w:r>
            <w:r w:rsidR="003A0D39">
              <w:rPr>
                <w:noProof/>
                <w:webHidden/>
              </w:rPr>
              <w:instrText xml:space="preserve"> PAGEREF _Toc48159289 \h </w:instrText>
            </w:r>
            <w:r w:rsidR="003A0D39">
              <w:rPr>
                <w:noProof/>
                <w:webHidden/>
              </w:rPr>
            </w:r>
            <w:r w:rsidR="003A0D39">
              <w:rPr>
                <w:noProof/>
                <w:webHidden/>
              </w:rPr>
              <w:fldChar w:fldCharType="separate"/>
            </w:r>
            <w:r w:rsidR="00932933">
              <w:rPr>
                <w:noProof/>
                <w:webHidden/>
              </w:rPr>
              <w:t>5</w:t>
            </w:r>
            <w:r w:rsidR="003A0D39">
              <w:rPr>
                <w:noProof/>
                <w:webHidden/>
              </w:rPr>
              <w:fldChar w:fldCharType="end"/>
            </w:r>
          </w:hyperlink>
        </w:p>
        <w:p w14:paraId="145E25A8" w14:textId="5A738EBA" w:rsidR="003A0D39" w:rsidRDefault="00681D84">
          <w:pPr>
            <w:pStyle w:val="TOC2"/>
            <w:tabs>
              <w:tab w:val="right" w:leader="dot" w:pos="9061"/>
            </w:tabs>
            <w:rPr>
              <w:rFonts w:eastAsiaTheme="minorEastAsia" w:cstheme="minorBidi"/>
              <w:b w:val="0"/>
              <w:bCs w:val="0"/>
              <w:noProof/>
              <w:sz w:val="24"/>
              <w:szCs w:val="24"/>
              <w:lang w:eastAsia="en-GB"/>
            </w:rPr>
          </w:pPr>
          <w:hyperlink w:anchor="_Toc48159290" w:history="1">
            <w:r w:rsidR="003A0D39" w:rsidRPr="00CF7792">
              <w:rPr>
                <w:rStyle w:val="Hyperlink"/>
                <w:noProof/>
              </w:rPr>
              <w:t>Cells conferences</w:t>
            </w:r>
            <w:r w:rsidR="003A0D39">
              <w:rPr>
                <w:noProof/>
                <w:webHidden/>
              </w:rPr>
              <w:tab/>
            </w:r>
            <w:r w:rsidR="003A0D39">
              <w:rPr>
                <w:noProof/>
                <w:webHidden/>
              </w:rPr>
              <w:fldChar w:fldCharType="begin"/>
            </w:r>
            <w:r w:rsidR="003A0D39">
              <w:rPr>
                <w:noProof/>
                <w:webHidden/>
              </w:rPr>
              <w:instrText xml:space="preserve"> PAGEREF _Toc48159290 \h </w:instrText>
            </w:r>
            <w:r w:rsidR="003A0D39">
              <w:rPr>
                <w:noProof/>
                <w:webHidden/>
              </w:rPr>
            </w:r>
            <w:r w:rsidR="003A0D39">
              <w:rPr>
                <w:noProof/>
                <w:webHidden/>
              </w:rPr>
              <w:fldChar w:fldCharType="separate"/>
            </w:r>
            <w:r w:rsidR="00932933">
              <w:rPr>
                <w:noProof/>
                <w:webHidden/>
              </w:rPr>
              <w:t>5</w:t>
            </w:r>
            <w:r w:rsidR="003A0D39">
              <w:rPr>
                <w:noProof/>
                <w:webHidden/>
              </w:rPr>
              <w:fldChar w:fldCharType="end"/>
            </w:r>
          </w:hyperlink>
        </w:p>
        <w:p w14:paraId="7AD74E22" w14:textId="7B90348E" w:rsidR="003A0D39" w:rsidRDefault="00681D84">
          <w:pPr>
            <w:pStyle w:val="TOC2"/>
            <w:tabs>
              <w:tab w:val="right" w:leader="dot" w:pos="9061"/>
            </w:tabs>
            <w:rPr>
              <w:rFonts w:eastAsiaTheme="minorEastAsia" w:cstheme="minorBidi"/>
              <w:b w:val="0"/>
              <w:bCs w:val="0"/>
              <w:noProof/>
              <w:sz w:val="24"/>
              <w:szCs w:val="24"/>
              <w:lang w:eastAsia="en-GB"/>
            </w:rPr>
          </w:pPr>
          <w:hyperlink w:anchor="_Toc48159291" w:history="1">
            <w:r w:rsidR="003A0D39" w:rsidRPr="00CF7792">
              <w:rPr>
                <w:rStyle w:val="Hyperlink"/>
                <w:noProof/>
              </w:rPr>
              <w:t>Time Estimates</w:t>
            </w:r>
            <w:r w:rsidR="003A0D39">
              <w:rPr>
                <w:noProof/>
                <w:webHidden/>
              </w:rPr>
              <w:tab/>
            </w:r>
            <w:r w:rsidR="003A0D39">
              <w:rPr>
                <w:noProof/>
                <w:webHidden/>
              </w:rPr>
              <w:fldChar w:fldCharType="begin"/>
            </w:r>
            <w:r w:rsidR="003A0D39">
              <w:rPr>
                <w:noProof/>
                <w:webHidden/>
              </w:rPr>
              <w:instrText xml:space="preserve"> PAGEREF _Toc48159291 \h </w:instrText>
            </w:r>
            <w:r w:rsidR="003A0D39">
              <w:rPr>
                <w:noProof/>
                <w:webHidden/>
              </w:rPr>
            </w:r>
            <w:r w:rsidR="003A0D39">
              <w:rPr>
                <w:noProof/>
                <w:webHidden/>
              </w:rPr>
              <w:fldChar w:fldCharType="separate"/>
            </w:r>
            <w:r w:rsidR="00932933">
              <w:rPr>
                <w:noProof/>
                <w:webHidden/>
              </w:rPr>
              <w:t>6</w:t>
            </w:r>
            <w:r w:rsidR="003A0D39">
              <w:rPr>
                <w:noProof/>
                <w:webHidden/>
              </w:rPr>
              <w:fldChar w:fldCharType="end"/>
            </w:r>
          </w:hyperlink>
        </w:p>
        <w:p w14:paraId="30DD5FB8" w14:textId="78513179" w:rsidR="003A0D39" w:rsidRDefault="00681D84">
          <w:pPr>
            <w:pStyle w:val="TOC2"/>
            <w:tabs>
              <w:tab w:val="right" w:leader="dot" w:pos="9061"/>
            </w:tabs>
            <w:rPr>
              <w:rFonts w:eastAsiaTheme="minorEastAsia" w:cstheme="minorBidi"/>
              <w:b w:val="0"/>
              <w:bCs w:val="0"/>
              <w:noProof/>
              <w:sz w:val="24"/>
              <w:szCs w:val="24"/>
              <w:lang w:eastAsia="en-GB"/>
            </w:rPr>
          </w:pPr>
          <w:hyperlink w:anchor="_Toc48159292" w:history="1">
            <w:r w:rsidR="003A0D39" w:rsidRPr="00CF7792">
              <w:rPr>
                <w:rStyle w:val="Hyperlink"/>
                <w:noProof/>
              </w:rPr>
              <w:t>DCS Side Notes</w:t>
            </w:r>
            <w:r w:rsidR="003A0D39">
              <w:rPr>
                <w:noProof/>
                <w:webHidden/>
              </w:rPr>
              <w:tab/>
            </w:r>
            <w:r w:rsidR="003A0D39">
              <w:rPr>
                <w:noProof/>
                <w:webHidden/>
              </w:rPr>
              <w:fldChar w:fldCharType="begin"/>
            </w:r>
            <w:r w:rsidR="003A0D39">
              <w:rPr>
                <w:noProof/>
                <w:webHidden/>
              </w:rPr>
              <w:instrText xml:space="preserve"> PAGEREF _Toc48159292 \h </w:instrText>
            </w:r>
            <w:r w:rsidR="003A0D39">
              <w:rPr>
                <w:noProof/>
                <w:webHidden/>
              </w:rPr>
            </w:r>
            <w:r w:rsidR="003A0D39">
              <w:rPr>
                <w:noProof/>
                <w:webHidden/>
              </w:rPr>
              <w:fldChar w:fldCharType="separate"/>
            </w:r>
            <w:r w:rsidR="00932933">
              <w:rPr>
                <w:noProof/>
                <w:webHidden/>
              </w:rPr>
              <w:t>6</w:t>
            </w:r>
            <w:r w:rsidR="003A0D39">
              <w:rPr>
                <w:noProof/>
                <w:webHidden/>
              </w:rPr>
              <w:fldChar w:fldCharType="end"/>
            </w:r>
          </w:hyperlink>
        </w:p>
        <w:p w14:paraId="37ADE8F1" w14:textId="7A691986" w:rsidR="003A0D39" w:rsidRDefault="00681D84">
          <w:pPr>
            <w:pStyle w:val="TOC2"/>
            <w:tabs>
              <w:tab w:val="right" w:leader="dot" w:pos="9061"/>
            </w:tabs>
            <w:rPr>
              <w:rFonts w:eastAsiaTheme="minorEastAsia" w:cstheme="minorBidi"/>
              <w:b w:val="0"/>
              <w:bCs w:val="0"/>
              <w:noProof/>
              <w:sz w:val="24"/>
              <w:szCs w:val="24"/>
              <w:lang w:eastAsia="en-GB"/>
            </w:rPr>
          </w:pPr>
          <w:hyperlink w:anchor="_Toc48159293" w:history="1">
            <w:r w:rsidR="003A0D39" w:rsidRPr="00CF7792">
              <w:rPr>
                <w:rStyle w:val="Hyperlink"/>
                <w:noProof/>
              </w:rPr>
              <w:t>Section 28 pre-recorded cross-examination</w:t>
            </w:r>
            <w:r w:rsidR="003A0D39">
              <w:rPr>
                <w:noProof/>
                <w:webHidden/>
              </w:rPr>
              <w:tab/>
            </w:r>
            <w:r w:rsidR="003A0D39">
              <w:rPr>
                <w:noProof/>
                <w:webHidden/>
              </w:rPr>
              <w:fldChar w:fldCharType="begin"/>
            </w:r>
            <w:r w:rsidR="003A0D39">
              <w:rPr>
                <w:noProof/>
                <w:webHidden/>
              </w:rPr>
              <w:instrText xml:space="preserve"> PAGEREF _Toc48159293 \h </w:instrText>
            </w:r>
            <w:r w:rsidR="003A0D39">
              <w:rPr>
                <w:noProof/>
                <w:webHidden/>
              </w:rPr>
            </w:r>
            <w:r w:rsidR="003A0D39">
              <w:rPr>
                <w:noProof/>
                <w:webHidden/>
              </w:rPr>
              <w:fldChar w:fldCharType="separate"/>
            </w:r>
            <w:r w:rsidR="00932933">
              <w:rPr>
                <w:noProof/>
                <w:webHidden/>
              </w:rPr>
              <w:t>6</w:t>
            </w:r>
            <w:r w:rsidR="003A0D39">
              <w:rPr>
                <w:noProof/>
                <w:webHidden/>
              </w:rPr>
              <w:fldChar w:fldCharType="end"/>
            </w:r>
          </w:hyperlink>
        </w:p>
        <w:p w14:paraId="37EB40D1" w14:textId="513B7F95" w:rsidR="00EE18ED" w:rsidRPr="00FB4AC9" w:rsidRDefault="00A41167" w:rsidP="00FB4AC9">
          <w:r>
            <w:rPr>
              <w:b/>
              <w:bCs/>
              <w:noProof/>
            </w:rPr>
            <w:fldChar w:fldCharType="end"/>
          </w:r>
        </w:p>
      </w:sdtContent>
    </w:sdt>
    <w:p w14:paraId="1935BA4F" w14:textId="6BD3D6C0" w:rsidR="003D6586" w:rsidRPr="0032400B" w:rsidRDefault="003D6586" w:rsidP="0032400B">
      <w:pPr>
        <w:pStyle w:val="Heading2"/>
      </w:pPr>
      <w:bookmarkStart w:id="6" w:name="_Toc48159285"/>
      <w:r w:rsidRPr="0032400B">
        <w:t>The Plan</w:t>
      </w:r>
      <w:r w:rsidR="00A76BB0" w:rsidRPr="0032400B">
        <w:t xml:space="preserve"> for trials</w:t>
      </w:r>
      <w:bookmarkEnd w:id="6"/>
    </w:p>
    <w:p w14:paraId="70033B82" w14:textId="77777777"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This document is intended to provide information for court users and other interested parties on the plan for an increase in jury trial provision at Isleworth during the autumn of 2020.  It must, of course, be subject to any change in Government guidance.</w:t>
      </w:r>
    </w:p>
    <w:p w14:paraId="470ED9A5" w14:textId="2E2D640A"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 xml:space="preserve">The headnote is that we intend to list for 4 trial courts from mid-September and 6-7 courts from October 2020.  </w:t>
      </w:r>
      <w:r w:rsidR="003608CA">
        <w:rPr>
          <w:rFonts w:cstheme="minorHAnsi"/>
        </w:rPr>
        <w:t>Initially w</w:t>
      </w:r>
      <w:r w:rsidRPr="00E648C6">
        <w:rPr>
          <w:rFonts w:cstheme="minorHAnsi"/>
        </w:rPr>
        <w:t>e will focus on custody cases past custody time limits but are alive to other aspects of priority and the need to use the trial capacity as intensively as possible.</w:t>
      </w:r>
    </w:p>
    <w:p w14:paraId="1FC06CAE" w14:textId="77777777"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Since the w/c 6</w:t>
      </w:r>
      <w:r w:rsidRPr="00E648C6">
        <w:rPr>
          <w:rFonts w:cstheme="minorHAnsi"/>
          <w:vertAlign w:val="superscript"/>
        </w:rPr>
        <w:t>th</w:t>
      </w:r>
      <w:r w:rsidRPr="00E648C6">
        <w:rPr>
          <w:rFonts w:cstheme="minorHAnsi"/>
        </w:rPr>
        <w:t xml:space="preserve"> July 2020 we have been sitting 2 trial courts at 2m social distancing with each trial court needing two additional courtrooms to serve respectively as public gallery courts and jury retirement areas.</w:t>
      </w:r>
    </w:p>
    <w:p w14:paraId="34160B9B" w14:textId="073456D2"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 xml:space="preserve">Planning has taken place towards utilising more courts for trials on 1m+.  The + element being the removal of fixed </w:t>
      </w:r>
      <w:r w:rsidR="002468C3">
        <w:rPr>
          <w:rFonts w:cstheme="minorHAnsi"/>
        </w:rPr>
        <w:t xml:space="preserve">jury </w:t>
      </w:r>
      <w:r w:rsidRPr="00E648C6">
        <w:rPr>
          <w:rFonts w:cstheme="minorHAnsi"/>
        </w:rPr>
        <w:t xml:space="preserve">seating and provision of </w:t>
      </w:r>
      <w:r w:rsidR="00056E9F" w:rsidRPr="00E648C6">
        <w:rPr>
          <w:rFonts w:cstheme="minorHAnsi"/>
        </w:rPr>
        <w:t>Perspex</w:t>
      </w:r>
      <w:r w:rsidRPr="00E648C6">
        <w:rPr>
          <w:rFonts w:cstheme="minorHAnsi"/>
        </w:rPr>
        <w:t xml:space="preserve"> screens </w:t>
      </w:r>
      <w:r w:rsidR="003E72C2">
        <w:rPr>
          <w:rFonts w:cstheme="minorHAnsi"/>
        </w:rPr>
        <w:t xml:space="preserve">between jurors </w:t>
      </w:r>
      <w:r w:rsidR="00055096">
        <w:rPr>
          <w:rFonts w:cstheme="minorHAnsi"/>
        </w:rPr>
        <w:t xml:space="preserve">and sometimes elsewhere </w:t>
      </w:r>
      <w:r w:rsidRPr="00E648C6">
        <w:rPr>
          <w:rFonts w:cstheme="minorHAnsi"/>
        </w:rPr>
        <w:t>on the model developed in Leeds.  By this means we expect to be able to sit Courts 7-13 as trial courts.  Additional screens and furniture will allow us to use jury rooms 1-6.</w:t>
      </w:r>
    </w:p>
    <w:p w14:paraId="4CC7FC38" w14:textId="19D1174C"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lastRenderedPageBreak/>
        <w:t>The courts and jury rooms were measured up for screening on 29</w:t>
      </w:r>
      <w:r w:rsidRPr="00E648C6">
        <w:rPr>
          <w:rFonts w:cstheme="minorHAnsi"/>
          <w:vertAlign w:val="superscript"/>
        </w:rPr>
        <w:t>th</w:t>
      </w:r>
      <w:r w:rsidRPr="00E648C6">
        <w:rPr>
          <w:rFonts w:cstheme="minorHAnsi"/>
        </w:rPr>
        <w:t xml:space="preserve"> July and the anticipated lead-in time for </w:t>
      </w:r>
      <w:r w:rsidR="0052206F" w:rsidRPr="00E648C6">
        <w:rPr>
          <w:rFonts w:cstheme="minorHAnsi"/>
        </w:rPr>
        <w:t xml:space="preserve">delivery of screens </w:t>
      </w:r>
      <w:r w:rsidRPr="00E648C6">
        <w:rPr>
          <w:rFonts w:cstheme="minorHAnsi"/>
        </w:rPr>
        <w:t>is 3-4 weeks</w:t>
      </w:r>
      <w:r w:rsidR="0052206F" w:rsidRPr="00E648C6">
        <w:rPr>
          <w:rFonts w:cstheme="minorHAnsi"/>
        </w:rPr>
        <w:t>. Some new furnishings and plinths will need to be installed</w:t>
      </w:r>
      <w:r w:rsidR="009B4FAE" w:rsidRPr="00E648C6">
        <w:rPr>
          <w:rFonts w:cstheme="minorHAnsi"/>
        </w:rPr>
        <w:t>.</w:t>
      </w:r>
    </w:p>
    <w:p w14:paraId="2F23D20D" w14:textId="622E06AA"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The plan is to list for four trial courts from mid-September</w:t>
      </w:r>
      <w:r w:rsidR="00312FA0" w:rsidRPr="00E648C6">
        <w:rPr>
          <w:rFonts w:cstheme="minorHAnsi"/>
        </w:rPr>
        <w:t xml:space="preserve"> </w:t>
      </w:r>
      <w:r w:rsidRPr="00E648C6">
        <w:rPr>
          <w:rFonts w:cstheme="minorHAnsi"/>
        </w:rPr>
        <w:t>and to increase that to 6-7 trial courts from October.</w:t>
      </w:r>
      <w:r w:rsidR="009B4FAE" w:rsidRPr="00E648C6">
        <w:rPr>
          <w:rFonts w:cstheme="minorHAnsi"/>
        </w:rPr>
        <w:t xml:space="preserve">  If it proves possible to bring that timetable </w:t>
      </w:r>
      <w:r w:rsidR="008A3046" w:rsidRPr="00E648C6">
        <w:rPr>
          <w:rFonts w:cstheme="minorHAnsi"/>
        </w:rPr>
        <w:t>forward,</w:t>
      </w:r>
      <w:r w:rsidR="009B4FAE" w:rsidRPr="00E648C6">
        <w:rPr>
          <w:rFonts w:cstheme="minorHAnsi"/>
        </w:rPr>
        <w:t xml:space="preserve"> we will seek to do so.</w:t>
      </w:r>
    </w:p>
    <w:p w14:paraId="0C3E112C" w14:textId="77777777"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We anticipate that it will be possible to hold trials of up to 3 defendants in Courts 8 and 11 (and possibly others depending on sight lines) and up to 4 and possibly 5 defendants in Court 7.</w:t>
      </w:r>
    </w:p>
    <w:p w14:paraId="21D384EE" w14:textId="77777777" w:rsidR="00295A7C" w:rsidRPr="00E648C6" w:rsidRDefault="003D6586" w:rsidP="002E3A7C">
      <w:pPr>
        <w:pStyle w:val="ListParagraph"/>
        <w:numPr>
          <w:ilvl w:val="0"/>
          <w:numId w:val="22"/>
        </w:numPr>
        <w:spacing w:before="240" w:after="240"/>
        <w:jc w:val="both"/>
        <w:rPr>
          <w:rFonts w:cstheme="minorHAnsi"/>
        </w:rPr>
      </w:pPr>
      <w:r w:rsidRPr="00E648C6">
        <w:rPr>
          <w:rFonts w:cstheme="minorHAnsi"/>
        </w:rPr>
        <w:t>There are limitations on capacity</w:t>
      </w:r>
      <w:r w:rsidR="00295A7C" w:rsidRPr="00E648C6">
        <w:rPr>
          <w:rFonts w:cstheme="minorHAnsi"/>
        </w:rPr>
        <w:t xml:space="preserve"> for instance:</w:t>
      </w:r>
    </w:p>
    <w:p w14:paraId="73907E74" w14:textId="5A9FE343" w:rsidR="004A6C32" w:rsidRPr="00E648C6" w:rsidRDefault="004D1BD9" w:rsidP="002E3A7C">
      <w:pPr>
        <w:pStyle w:val="ListParagraph"/>
        <w:numPr>
          <w:ilvl w:val="1"/>
          <w:numId w:val="22"/>
        </w:numPr>
        <w:spacing w:before="240" w:after="240"/>
        <w:jc w:val="both"/>
        <w:rPr>
          <w:rFonts w:cstheme="minorHAnsi"/>
        </w:rPr>
      </w:pPr>
      <w:r w:rsidRPr="00E648C6">
        <w:rPr>
          <w:rFonts w:cstheme="minorHAnsi"/>
        </w:rPr>
        <w:t>It will be better to keep footfall low and spread through the day</w:t>
      </w:r>
      <w:r w:rsidR="00312FA0" w:rsidRPr="00E648C6">
        <w:rPr>
          <w:rFonts w:cstheme="minorHAnsi"/>
        </w:rPr>
        <w:t>;</w:t>
      </w:r>
    </w:p>
    <w:p w14:paraId="09E81F6F" w14:textId="02DE2E98" w:rsidR="00295A7C" w:rsidRPr="00E648C6" w:rsidRDefault="00EB0346" w:rsidP="002E3A7C">
      <w:pPr>
        <w:pStyle w:val="ListParagraph"/>
        <w:numPr>
          <w:ilvl w:val="1"/>
          <w:numId w:val="22"/>
        </w:numPr>
        <w:spacing w:before="240" w:after="240"/>
        <w:jc w:val="both"/>
        <w:rPr>
          <w:rFonts w:cstheme="minorHAnsi"/>
        </w:rPr>
      </w:pPr>
      <w:r>
        <w:rPr>
          <w:rFonts w:cstheme="minorHAnsi"/>
        </w:rPr>
        <w:t>T</w:t>
      </w:r>
      <w:r w:rsidR="003D6586" w:rsidRPr="00E648C6">
        <w:rPr>
          <w:rFonts w:cstheme="minorHAnsi"/>
        </w:rPr>
        <w:t>he cells are presently limited to accommodating 10 produced prisoners per da</w:t>
      </w:r>
      <w:r w:rsidR="003A7A43" w:rsidRPr="00E648C6">
        <w:rPr>
          <w:rFonts w:cstheme="minorHAnsi"/>
        </w:rPr>
        <w:t>y although that is being reviewed.</w:t>
      </w:r>
      <w:r w:rsidR="00295A7C" w:rsidRPr="00E648C6">
        <w:rPr>
          <w:rFonts w:cstheme="minorHAnsi"/>
        </w:rPr>
        <w:t xml:space="preserve"> They can have up to </w:t>
      </w:r>
      <w:r w:rsidR="00ED1971" w:rsidRPr="00E648C6">
        <w:rPr>
          <w:rFonts w:cstheme="minorHAnsi"/>
        </w:rPr>
        <w:t xml:space="preserve">four </w:t>
      </w:r>
      <w:r w:rsidR="00295A7C" w:rsidRPr="00E648C6">
        <w:rPr>
          <w:rFonts w:cstheme="minorHAnsi"/>
        </w:rPr>
        <w:t>professional visits at a time and this is now supplemented with a telephone conference facility</w:t>
      </w:r>
      <w:r w:rsidR="00312FA0" w:rsidRPr="00E648C6">
        <w:rPr>
          <w:rFonts w:cstheme="minorHAnsi"/>
        </w:rPr>
        <w:t>;</w:t>
      </w:r>
    </w:p>
    <w:p w14:paraId="355152A2" w14:textId="57D0B458" w:rsidR="001A5629" w:rsidRPr="00E648C6" w:rsidRDefault="00EB0346" w:rsidP="001A5629">
      <w:pPr>
        <w:pStyle w:val="ListParagraph"/>
        <w:numPr>
          <w:ilvl w:val="1"/>
          <w:numId w:val="22"/>
        </w:numPr>
        <w:spacing w:before="240" w:after="240"/>
        <w:jc w:val="both"/>
        <w:rPr>
          <w:rFonts w:cstheme="minorHAnsi"/>
        </w:rPr>
      </w:pPr>
      <w:r>
        <w:rPr>
          <w:rFonts w:cstheme="minorHAnsi"/>
        </w:rPr>
        <w:t>T</w:t>
      </w:r>
      <w:r w:rsidR="00295A7C" w:rsidRPr="00E648C6">
        <w:rPr>
          <w:rFonts w:cstheme="minorHAnsi"/>
        </w:rPr>
        <w:t>h</w:t>
      </w:r>
      <w:r w:rsidR="003D6586" w:rsidRPr="00E648C6">
        <w:rPr>
          <w:rFonts w:cstheme="minorHAnsi"/>
        </w:rPr>
        <w:t>e jury lounge area can accommodate around 50 persons at one time</w:t>
      </w:r>
      <w:r w:rsidR="001A5629" w:rsidRPr="00E648C6">
        <w:rPr>
          <w:rFonts w:cstheme="minorHAnsi"/>
        </w:rPr>
        <w:t>;</w:t>
      </w:r>
    </w:p>
    <w:p w14:paraId="118BC9DB" w14:textId="24B2B022" w:rsidR="001A5629" w:rsidRPr="00E648C6" w:rsidRDefault="00EB0346" w:rsidP="001A5629">
      <w:pPr>
        <w:pStyle w:val="ListParagraph"/>
        <w:numPr>
          <w:ilvl w:val="1"/>
          <w:numId w:val="22"/>
        </w:numPr>
        <w:spacing w:before="240" w:after="240"/>
        <w:jc w:val="both"/>
        <w:rPr>
          <w:rFonts w:cstheme="minorHAnsi"/>
        </w:rPr>
      </w:pPr>
      <w:r>
        <w:rPr>
          <w:rFonts w:cstheme="minorHAnsi"/>
        </w:rPr>
        <w:t>S</w:t>
      </w:r>
      <w:r w:rsidR="001A5629" w:rsidRPr="00E648C6">
        <w:rPr>
          <w:rFonts w:cstheme="minorHAnsi"/>
        </w:rPr>
        <w:t>ocially distanced trials require higher staffing levels</w:t>
      </w:r>
      <w:r w:rsidR="00CC5ED3">
        <w:rPr>
          <w:rFonts w:cstheme="minorHAnsi"/>
        </w:rPr>
        <w:t xml:space="preserve"> and, like any organisation during Covid 19, </w:t>
      </w:r>
      <w:r w:rsidR="009006FB">
        <w:rPr>
          <w:rFonts w:cstheme="minorHAnsi"/>
        </w:rPr>
        <w:t>staffing is an issue</w:t>
      </w:r>
      <w:r w:rsidR="001A5629" w:rsidRPr="00E648C6">
        <w:rPr>
          <w:rFonts w:cstheme="minorHAnsi"/>
        </w:rPr>
        <w:t>.</w:t>
      </w:r>
    </w:p>
    <w:p w14:paraId="44256D4C" w14:textId="481CF817" w:rsidR="003D6586" w:rsidRPr="00E648C6" w:rsidRDefault="003D6586" w:rsidP="002E3A7C">
      <w:pPr>
        <w:pStyle w:val="ListParagraph"/>
        <w:numPr>
          <w:ilvl w:val="0"/>
          <w:numId w:val="22"/>
        </w:numPr>
        <w:spacing w:before="240" w:after="240"/>
        <w:jc w:val="both"/>
        <w:rPr>
          <w:rFonts w:cstheme="minorHAnsi"/>
        </w:rPr>
      </w:pPr>
      <w:r w:rsidRPr="00E648C6">
        <w:rPr>
          <w:rFonts w:cstheme="minorHAnsi"/>
        </w:rPr>
        <w:t>For these reasons:</w:t>
      </w:r>
    </w:p>
    <w:p w14:paraId="6ADECBCE" w14:textId="77777777" w:rsidR="003D6586" w:rsidRPr="00E648C6" w:rsidRDefault="003D6586" w:rsidP="002E3A7C">
      <w:pPr>
        <w:pStyle w:val="ListParagraph"/>
        <w:numPr>
          <w:ilvl w:val="1"/>
          <w:numId w:val="22"/>
        </w:numPr>
        <w:spacing w:before="240" w:after="240"/>
        <w:jc w:val="both"/>
        <w:rPr>
          <w:rFonts w:cstheme="minorHAnsi"/>
        </w:rPr>
      </w:pPr>
      <w:r w:rsidRPr="00E648C6">
        <w:rPr>
          <w:rFonts w:cstheme="minorHAnsi"/>
        </w:rPr>
        <w:t>We will need to explore staggered start times and lunch breaks for trials (perhaps ½ hour either way), and for serving jurors to be directed straight to jury rooms rather than remain in the lounge areas.  This is NOT the same as the extended hours pilot at Snaresbrook.  We will seek the co-operation of advocates and others to achieve this.</w:t>
      </w:r>
    </w:p>
    <w:p w14:paraId="003D9DD1" w14:textId="4F5391DC" w:rsidR="003D6586" w:rsidRPr="00E648C6" w:rsidRDefault="003D6586" w:rsidP="002E3A7C">
      <w:pPr>
        <w:pStyle w:val="ListParagraph"/>
        <w:numPr>
          <w:ilvl w:val="1"/>
          <w:numId w:val="22"/>
        </w:numPr>
        <w:spacing w:before="240" w:after="240"/>
        <w:jc w:val="both"/>
        <w:rPr>
          <w:rFonts w:cstheme="minorHAnsi"/>
        </w:rPr>
      </w:pPr>
      <w:r w:rsidRPr="00E648C6">
        <w:rPr>
          <w:rFonts w:cstheme="minorHAnsi"/>
        </w:rPr>
        <w:t xml:space="preserve">Depending on the numbers of prisoners for trial it may be necessary to list </w:t>
      </w:r>
      <w:r w:rsidR="00880788" w:rsidRPr="00E648C6">
        <w:rPr>
          <w:rFonts w:cstheme="minorHAnsi"/>
        </w:rPr>
        <w:t xml:space="preserve">a proportion of </w:t>
      </w:r>
      <w:r w:rsidRPr="00E648C6">
        <w:rPr>
          <w:rFonts w:cstheme="minorHAnsi"/>
        </w:rPr>
        <w:t>bail cases;</w:t>
      </w:r>
    </w:p>
    <w:p w14:paraId="5ECF7F0F" w14:textId="77777777" w:rsidR="001528A4" w:rsidRDefault="004D194B" w:rsidP="002E3A7C">
      <w:pPr>
        <w:pStyle w:val="ListParagraph"/>
        <w:numPr>
          <w:ilvl w:val="1"/>
          <w:numId w:val="22"/>
        </w:numPr>
        <w:spacing w:before="240" w:after="240"/>
        <w:jc w:val="both"/>
        <w:rPr>
          <w:rFonts w:cstheme="minorHAnsi"/>
        </w:rPr>
      </w:pPr>
      <w:r>
        <w:rPr>
          <w:rFonts w:cstheme="minorHAnsi"/>
        </w:rPr>
        <w:t xml:space="preserve">Anything you can do to ensure that the trial runs within time estimate will help everyone.  </w:t>
      </w:r>
    </w:p>
    <w:p w14:paraId="56DC17B1" w14:textId="4C6BCE20" w:rsidR="003D6586" w:rsidRPr="00E648C6" w:rsidRDefault="003D6586" w:rsidP="002E3A7C">
      <w:pPr>
        <w:pStyle w:val="ListParagraph"/>
        <w:numPr>
          <w:ilvl w:val="1"/>
          <w:numId w:val="22"/>
        </w:numPr>
        <w:spacing w:before="240" w:after="240"/>
        <w:jc w:val="both"/>
        <w:rPr>
          <w:rFonts w:cstheme="minorHAnsi"/>
        </w:rPr>
      </w:pPr>
      <w:r w:rsidRPr="00E648C6">
        <w:rPr>
          <w:rFonts w:cstheme="minorHAnsi"/>
        </w:rPr>
        <w:t>With multi-defendant trials we will explore the possibility that prisoners by consent attend the trial remotely (except when giving evidence)</w:t>
      </w:r>
      <w:r w:rsidR="00880788" w:rsidRPr="00E648C6">
        <w:rPr>
          <w:rFonts w:cstheme="minorHAnsi"/>
        </w:rPr>
        <w:t xml:space="preserve"> but this is dependent on increased </w:t>
      </w:r>
      <w:r w:rsidR="000A0672" w:rsidRPr="00E648C6">
        <w:rPr>
          <w:rFonts w:cstheme="minorHAnsi"/>
        </w:rPr>
        <w:t>video facilities in prisons</w:t>
      </w:r>
      <w:r w:rsidRPr="00E648C6">
        <w:rPr>
          <w:rFonts w:cstheme="minorHAnsi"/>
        </w:rPr>
        <w:t>;</w:t>
      </w:r>
    </w:p>
    <w:p w14:paraId="56FD7465" w14:textId="3DD65F67" w:rsidR="00571191" w:rsidRPr="00E648C6" w:rsidRDefault="00571191" w:rsidP="002E3A7C">
      <w:pPr>
        <w:pStyle w:val="ListParagraph"/>
        <w:numPr>
          <w:ilvl w:val="1"/>
          <w:numId w:val="22"/>
        </w:numPr>
        <w:spacing w:before="240" w:after="240"/>
        <w:jc w:val="both"/>
        <w:rPr>
          <w:rFonts w:cstheme="minorHAnsi"/>
        </w:rPr>
      </w:pPr>
      <w:r w:rsidRPr="00E648C6">
        <w:rPr>
          <w:rFonts w:cstheme="minorHAnsi"/>
        </w:rPr>
        <w:t>Public gallery space will be limited</w:t>
      </w:r>
      <w:r w:rsidR="000A0672" w:rsidRPr="00E648C6">
        <w:rPr>
          <w:rFonts w:cstheme="minorHAnsi"/>
        </w:rPr>
        <w:t>,</w:t>
      </w:r>
      <w:r w:rsidRPr="00E648C6">
        <w:rPr>
          <w:rFonts w:cstheme="minorHAnsi"/>
        </w:rPr>
        <w:t xml:space="preserve"> and</w:t>
      </w:r>
      <w:r w:rsidR="00FE59D0" w:rsidRPr="00E648C6">
        <w:rPr>
          <w:rFonts w:cstheme="minorHAnsi"/>
        </w:rPr>
        <w:t xml:space="preserve"> users of the public galleries may be asked to wear masks in court.</w:t>
      </w:r>
    </w:p>
    <w:p w14:paraId="639E7035" w14:textId="1F4D1F85" w:rsidR="006C42AD" w:rsidRPr="0032400B" w:rsidRDefault="006C42AD" w:rsidP="0032400B">
      <w:pPr>
        <w:pStyle w:val="Heading2"/>
      </w:pPr>
      <w:bookmarkStart w:id="7" w:name="_Toc48159286"/>
      <w:r w:rsidRPr="0032400B">
        <w:t>Listing</w:t>
      </w:r>
      <w:r w:rsidR="008B3763" w:rsidRPr="0032400B">
        <w:t xml:space="preserve"> of Trials</w:t>
      </w:r>
      <w:bookmarkEnd w:id="7"/>
    </w:p>
    <w:p w14:paraId="2A72C6E7" w14:textId="1B9ACF2C" w:rsidR="00F05CFE" w:rsidRPr="00E648C6" w:rsidRDefault="006C42AD" w:rsidP="002E3A7C">
      <w:pPr>
        <w:pStyle w:val="ListParagraph"/>
        <w:numPr>
          <w:ilvl w:val="0"/>
          <w:numId w:val="22"/>
        </w:numPr>
        <w:spacing w:before="240" w:after="240"/>
        <w:jc w:val="both"/>
        <w:rPr>
          <w:rFonts w:cstheme="minorHAnsi"/>
        </w:rPr>
      </w:pPr>
      <w:r w:rsidRPr="00E648C6">
        <w:rPr>
          <w:rFonts w:cstheme="minorHAnsi"/>
        </w:rPr>
        <w:t xml:space="preserve">Listing is ultimately a judicial function.  </w:t>
      </w:r>
      <w:r w:rsidR="005B1DD6" w:rsidRPr="00E648C6">
        <w:rPr>
          <w:rFonts w:cstheme="minorHAnsi"/>
        </w:rPr>
        <w:t>The outstanding cases have been reviewed</w:t>
      </w:r>
      <w:r w:rsidR="00F05CFE" w:rsidRPr="00E648C6">
        <w:rPr>
          <w:rFonts w:cstheme="minorHAnsi"/>
        </w:rPr>
        <w:t xml:space="preserve"> by the Resident Judge with the assistance of the listing officer and fellow judges, </w:t>
      </w:r>
      <w:r w:rsidR="00EE012D" w:rsidRPr="00E648C6">
        <w:rPr>
          <w:rFonts w:cstheme="minorHAnsi"/>
        </w:rPr>
        <w:t>focussing first on those where defendants are in custody</w:t>
      </w:r>
      <w:r w:rsidR="00F05CFE" w:rsidRPr="00E648C6">
        <w:rPr>
          <w:rFonts w:cstheme="minorHAnsi"/>
        </w:rPr>
        <w:t xml:space="preserve">, and initially on those whose PTPH preceded the suspension of jury trials. </w:t>
      </w:r>
    </w:p>
    <w:p w14:paraId="460D65F2" w14:textId="6FCCFC7B" w:rsidR="00FE59D0" w:rsidRPr="00E648C6" w:rsidRDefault="00F05CFE" w:rsidP="002E3A7C">
      <w:pPr>
        <w:pStyle w:val="ListParagraph"/>
        <w:numPr>
          <w:ilvl w:val="0"/>
          <w:numId w:val="22"/>
        </w:numPr>
        <w:spacing w:before="240" w:after="240"/>
        <w:jc w:val="both"/>
        <w:rPr>
          <w:rFonts w:cstheme="minorHAnsi"/>
        </w:rPr>
      </w:pPr>
      <w:r w:rsidRPr="00E648C6">
        <w:rPr>
          <w:rFonts w:cstheme="minorHAnsi"/>
        </w:rPr>
        <w:t>F</w:t>
      </w:r>
      <w:r w:rsidR="005B1DD6" w:rsidRPr="00E648C6">
        <w:rPr>
          <w:rFonts w:cstheme="minorHAnsi"/>
        </w:rPr>
        <w:t>rom mid-August parties will receive notice of PROVISIONAL listings</w:t>
      </w:r>
      <w:r w:rsidR="00300A0C" w:rsidRPr="00E648C6">
        <w:rPr>
          <w:rFonts w:cstheme="minorHAnsi"/>
        </w:rPr>
        <w:t xml:space="preserve"> of their cases as </w:t>
      </w:r>
      <w:r w:rsidR="008B3763" w:rsidRPr="00E648C6">
        <w:rPr>
          <w:rFonts w:cstheme="minorHAnsi"/>
        </w:rPr>
        <w:t>A FIRST STE</w:t>
      </w:r>
      <w:r w:rsidR="00E45236">
        <w:rPr>
          <w:rFonts w:cstheme="minorHAnsi"/>
        </w:rPr>
        <w:t>P starting with the cases of those whose PTPH preceded the suspension of jury trials and whose cases we expect to list before Christmas.</w:t>
      </w:r>
    </w:p>
    <w:p w14:paraId="01AC34B9" w14:textId="77777777" w:rsidR="00832C0B" w:rsidRDefault="00300A0C" w:rsidP="002E3A7C">
      <w:pPr>
        <w:pStyle w:val="ListParagraph"/>
        <w:numPr>
          <w:ilvl w:val="0"/>
          <w:numId w:val="22"/>
        </w:numPr>
        <w:spacing w:before="240" w:after="240"/>
        <w:jc w:val="both"/>
        <w:rPr>
          <w:rFonts w:cstheme="minorHAnsi"/>
        </w:rPr>
      </w:pPr>
      <w:r w:rsidRPr="00E648C6">
        <w:rPr>
          <w:rFonts w:cstheme="minorHAnsi"/>
        </w:rPr>
        <w:t xml:space="preserve">We seek the assistance of parties to respond to these provisional listings </w:t>
      </w:r>
      <w:r w:rsidRPr="00E648C6">
        <w:rPr>
          <w:rFonts w:cstheme="minorHAnsi"/>
          <w:u w:val="single"/>
        </w:rPr>
        <w:t xml:space="preserve">within </w:t>
      </w:r>
      <w:r w:rsidR="0098086B" w:rsidRPr="00E648C6">
        <w:rPr>
          <w:rFonts w:cstheme="minorHAnsi"/>
          <w:u w:val="single"/>
        </w:rPr>
        <w:t>7 days</w:t>
      </w:r>
      <w:r w:rsidR="0098086B" w:rsidRPr="00E648C6">
        <w:rPr>
          <w:rFonts w:cstheme="minorHAnsi"/>
        </w:rPr>
        <w:t xml:space="preserve"> so that we can take account of any priority issues you wish to bring to our attention, availability of witnesses, defendant and advocates</w:t>
      </w:r>
      <w:r w:rsidR="00F8278E" w:rsidRPr="00E648C6">
        <w:rPr>
          <w:rFonts w:cstheme="minorHAnsi"/>
        </w:rPr>
        <w:t xml:space="preserve">, </w:t>
      </w:r>
      <w:r w:rsidR="000F72C5" w:rsidRPr="00E648C6">
        <w:rPr>
          <w:rFonts w:cstheme="minorHAnsi"/>
        </w:rPr>
        <w:t xml:space="preserve">special provisions required, </w:t>
      </w:r>
      <w:r w:rsidR="008B3763" w:rsidRPr="00E648C6">
        <w:rPr>
          <w:rFonts w:cstheme="minorHAnsi"/>
        </w:rPr>
        <w:t xml:space="preserve">and </w:t>
      </w:r>
      <w:r w:rsidR="00F8278E" w:rsidRPr="00E648C6">
        <w:rPr>
          <w:rFonts w:cstheme="minorHAnsi"/>
        </w:rPr>
        <w:t>information about case readiness so that we can then seek to adjust the provisional listing accordingly.</w:t>
      </w:r>
      <w:r w:rsidR="00266D19" w:rsidRPr="00E648C6">
        <w:rPr>
          <w:rFonts w:cstheme="minorHAnsi"/>
        </w:rPr>
        <w:t xml:space="preserve"> </w:t>
      </w:r>
      <w:r w:rsidR="00DF5574" w:rsidRPr="00E648C6">
        <w:rPr>
          <w:rFonts w:cstheme="minorHAnsi"/>
        </w:rPr>
        <w:t xml:space="preserve">The timetable is short because </w:t>
      </w:r>
      <w:r w:rsidR="00F03CEA" w:rsidRPr="00E648C6">
        <w:rPr>
          <w:rFonts w:cstheme="minorHAnsi"/>
        </w:rPr>
        <w:t>the re-listing pro</w:t>
      </w:r>
      <w:r w:rsidR="00B75052" w:rsidRPr="00E648C6">
        <w:rPr>
          <w:rFonts w:cstheme="minorHAnsi"/>
        </w:rPr>
        <w:t xml:space="preserve">cess is </w:t>
      </w:r>
      <w:proofErr w:type="gramStart"/>
      <w:r w:rsidR="00B75052" w:rsidRPr="00E648C6">
        <w:rPr>
          <w:rFonts w:cstheme="minorHAnsi"/>
        </w:rPr>
        <w:t>complex</w:t>
      </w:r>
      <w:proofErr w:type="gramEnd"/>
      <w:r w:rsidR="00B75052" w:rsidRPr="00E648C6">
        <w:rPr>
          <w:rFonts w:cstheme="minorHAnsi"/>
        </w:rPr>
        <w:t xml:space="preserve"> and </w:t>
      </w:r>
      <w:r w:rsidR="006D3EE3" w:rsidRPr="00E648C6">
        <w:rPr>
          <w:rFonts w:cstheme="minorHAnsi"/>
        </w:rPr>
        <w:lastRenderedPageBreak/>
        <w:t xml:space="preserve">we </w:t>
      </w:r>
      <w:r w:rsidR="00B75052" w:rsidRPr="00E648C6">
        <w:rPr>
          <w:rFonts w:cstheme="minorHAnsi"/>
        </w:rPr>
        <w:t>need that information</w:t>
      </w:r>
      <w:r w:rsidR="006D3EE3" w:rsidRPr="00E648C6">
        <w:rPr>
          <w:rFonts w:cstheme="minorHAnsi"/>
        </w:rPr>
        <w:t xml:space="preserve"> to confirm listings so that everyone knows where they are.</w:t>
      </w:r>
      <w:r w:rsidR="00B75052" w:rsidRPr="00E648C6">
        <w:rPr>
          <w:rFonts w:cstheme="minorHAnsi"/>
        </w:rPr>
        <w:t xml:space="preserve">  If we don’t get it</w:t>
      </w:r>
      <w:r w:rsidR="000F72C5" w:rsidRPr="00E648C6">
        <w:rPr>
          <w:rFonts w:cstheme="minorHAnsi"/>
        </w:rPr>
        <w:t>,</w:t>
      </w:r>
      <w:r w:rsidR="00B75052" w:rsidRPr="00E648C6">
        <w:rPr>
          <w:rFonts w:cstheme="minorHAnsi"/>
        </w:rPr>
        <w:t xml:space="preserve"> we may not be able to hold the provisional date or allocate an early other date.  </w:t>
      </w:r>
      <w:r w:rsidR="00266D19" w:rsidRPr="00E648C6">
        <w:rPr>
          <w:rFonts w:cstheme="minorHAnsi"/>
        </w:rPr>
        <w:t xml:space="preserve">We will </w:t>
      </w:r>
      <w:r w:rsidR="00480547" w:rsidRPr="00E648C6">
        <w:rPr>
          <w:rFonts w:cstheme="minorHAnsi"/>
        </w:rPr>
        <w:t xml:space="preserve">ask parties to confirm an existing Certificate of Readiness or provide an updated one </w:t>
      </w:r>
      <w:proofErr w:type="gramStart"/>
      <w:r w:rsidR="00480547" w:rsidRPr="00E648C6">
        <w:rPr>
          <w:rFonts w:cstheme="minorHAnsi"/>
        </w:rPr>
        <w:t>and also</w:t>
      </w:r>
      <w:proofErr w:type="gramEnd"/>
      <w:r w:rsidR="00480547" w:rsidRPr="00E648C6">
        <w:rPr>
          <w:rFonts w:cstheme="minorHAnsi"/>
        </w:rPr>
        <w:t xml:space="preserve"> to respond to a p</w:t>
      </w:r>
      <w:r w:rsidR="00266D19" w:rsidRPr="00E648C6">
        <w:rPr>
          <w:rFonts w:cstheme="minorHAnsi"/>
        </w:rPr>
        <w:t>roforma to assist in providing the information.</w:t>
      </w:r>
      <w:r w:rsidR="0037794B" w:rsidRPr="00E648C6">
        <w:rPr>
          <w:rFonts w:cstheme="minorHAnsi"/>
        </w:rPr>
        <w:t xml:space="preserve"> We will aim to provide a firm listing within a further 7 days</w:t>
      </w:r>
      <w:r w:rsidR="004F6EC0">
        <w:rPr>
          <w:rFonts w:cstheme="minorHAnsi"/>
        </w:rPr>
        <w:t xml:space="preserve">. </w:t>
      </w:r>
    </w:p>
    <w:p w14:paraId="426D631C" w14:textId="76E5BA19" w:rsidR="00300A0C" w:rsidRPr="00D95019" w:rsidRDefault="0039624E" w:rsidP="002E3A7C">
      <w:pPr>
        <w:pStyle w:val="ListParagraph"/>
        <w:numPr>
          <w:ilvl w:val="0"/>
          <w:numId w:val="22"/>
        </w:numPr>
        <w:spacing w:before="240" w:after="240"/>
        <w:jc w:val="both"/>
        <w:rPr>
          <w:rFonts w:cstheme="minorHAnsi"/>
        </w:rPr>
      </w:pPr>
      <w:r w:rsidRPr="00D95019">
        <w:rPr>
          <w:rFonts w:cstheme="minorHAnsi"/>
        </w:rPr>
        <w:t xml:space="preserve">A copy of the proforma </w:t>
      </w:r>
      <w:r w:rsidR="00A7411C" w:rsidRPr="00D95019">
        <w:rPr>
          <w:rFonts w:cstheme="minorHAnsi"/>
        </w:rPr>
        <w:t>will be distributed with this Plan for information but parties will receive a copy when notified of the provisional listing date</w:t>
      </w:r>
      <w:r w:rsidR="00A21148" w:rsidRPr="00D95019">
        <w:rPr>
          <w:rFonts w:cstheme="minorHAnsi"/>
        </w:rPr>
        <w:t xml:space="preserve"> and will be asked to return it BY EMAIL with</w:t>
      </w:r>
      <w:r w:rsidR="00D95019" w:rsidRPr="00D95019">
        <w:rPr>
          <w:rFonts w:cstheme="minorHAnsi"/>
        </w:rPr>
        <w:t xml:space="preserve"> </w:t>
      </w:r>
      <w:r w:rsidR="00D95019" w:rsidRPr="00D95019">
        <w:rPr>
          <w:rFonts w:cstheme="minorHAnsi"/>
        </w:rPr>
        <w:t xml:space="preserve">“TRIAL LISTING” in the subject line within 7 days of receiving the provisional listing.  </w:t>
      </w:r>
    </w:p>
    <w:p w14:paraId="6C76116B" w14:textId="1DF121E1" w:rsidR="009A1FA4" w:rsidRPr="005634CD" w:rsidRDefault="000C1028" w:rsidP="00E44874">
      <w:pPr>
        <w:pStyle w:val="ListParagraph"/>
        <w:numPr>
          <w:ilvl w:val="0"/>
          <w:numId w:val="22"/>
        </w:numPr>
        <w:spacing w:before="240" w:after="240"/>
        <w:jc w:val="both"/>
        <w:rPr>
          <w:rFonts w:cstheme="minorHAnsi"/>
        </w:rPr>
      </w:pPr>
      <w:r w:rsidRPr="005634CD">
        <w:rPr>
          <w:rFonts w:cstheme="minorHAnsi"/>
        </w:rPr>
        <w:t xml:space="preserve">It will be </w:t>
      </w:r>
      <w:proofErr w:type="gramStart"/>
      <w:r w:rsidRPr="005634CD">
        <w:rPr>
          <w:rFonts w:cstheme="minorHAnsi"/>
        </w:rPr>
        <w:t>really helpful</w:t>
      </w:r>
      <w:proofErr w:type="gramEnd"/>
      <w:r w:rsidRPr="005634CD">
        <w:rPr>
          <w:rFonts w:cstheme="minorHAnsi"/>
        </w:rPr>
        <w:t xml:space="preserve"> when considering the form if parties can engage before returning it</w:t>
      </w:r>
      <w:r w:rsidR="005634CD" w:rsidRPr="005634CD">
        <w:rPr>
          <w:rFonts w:cstheme="minorHAnsi"/>
        </w:rPr>
        <w:t xml:space="preserve"> to try to iron out appa</w:t>
      </w:r>
      <w:bookmarkStart w:id="8" w:name="_GoBack"/>
      <w:bookmarkEnd w:id="8"/>
      <w:r w:rsidR="005634CD" w:rsidRPr="005634CD">
        <w:rPr>
          <w:rFonts w:cstheme="minorHAnsi"/>
        </w:rPr>
        <w:t xml:space="preserve">rent difficulties. That way we </w:t>
      </w:r>
      <w:r w:rsidR="005634CD">
        <w:rPr>
          <w:rFonts w:cstheme="minorHAnsi"/>
        </w:rPr>
        <w:t>can</w:t>
      </w:r>
      <w:r w:rsidR="009A1FA4" w:rsidRPr="005634CD">
        <w:rPr>
          <w:rFonts w:cstheme="minorHAnsi"/>
        </w:rPr>
        <w:t xml:space="preserve"> hope to </w:t>
      </w:r>
      <w:r w:rsidR="00681D84">
        <w:rPr>
          <w:rFonts w:cstheme="minorHAnsi"/>
        </w:rPr>
        <w:t>allocate trial dates in</w:t>
      </w:r>
      <w:r w:rsidR="009A1FA4" w:rsidRPr="005634CD">
        <w:rPr>
          <w:rFonts w:cstheme="minorHAnsi"/>
        </w:rPr>
        <w:t xml:space="preserve"> as many cases as possible without need for a hearing.  </w:t>
      </w:r>
    </w:p>
    <w:p w14:paraId="788DCFA7" w14:textId="62C95C07" w:rsidR="00F8278E" w:rsidRPr="00E648C6" w:rsidRDefault="00F8278E" w:rsidP="002E3A7C">
      <w:pPr>
        <w:pStyle w:val="ListParagraph"/>
        <w:numPr>
          <w:ilvl w:val="0"/>
          <w:numId w:val="22"/>
        </w:numPr>
        <w:spacing w:before="240" w:after="240"/>
        <w:jc w:val="both"/>
        <w:rPr>
          <w:rFonts w:cstheme="minorHAnsi"/>
        </w:rPr>
      </w:pPr>
      <w:r w:rsidRPr="00E648C6">
        <w:rPr>
          <w:rFonts w:cstheme="minorHAnsi"/>
        </w:rPr>
        <w:t xml:space="preserve">We will need to </w:t>
      </w:r>
      <w:r w:rsidR="000F5DE5" w:rsidRPr="00E648C6">
        <w:rPr>
          <w:rFonts w:cstheme="minorHAnsi"/>
        </w:rPr>
        <w:t xml:space="preserve">list </w:t>
      </w:r>
      <w:proofErr w:type="gramStart"/>
      <w:r w:rsidR="000F5DE5" w:rsidRPr="00E648C6">
        <w:rPr>
          <w:rFonts w:cstheme="minorHAnsi"/>
        </w:rPr>
        <w:t>so as to</w:t>
      </w:r>
      <w:proofErr w:type="gramEnd"/>
      <w:r w:rsidR="000F5DE5" w:rsidRPr="00E648C6">
        <w:rPr>
          <w:rFonts w:cstheme="minorHAnsi"/>
        </w:rPr>
        <w:t xml:space="preserve"> </w:t>
      </w:r>
      <w:r w:rsidRPr="00E648C6">
        <w:rPr>
          <w:rFonts w:cstheme="minorHAnsi"/>
        </w:rPr>
        <w:t xml:space="preserve">use the </w:t>
      </w:r>
      <w:r w:rsidR="000F5DE5" w:rsidRPr="00E648C6">
        <w:rPr>
          <w:rFonts w:cstheme="minorHAnsi"/>
        </w:rPr>
        <w:t xml:space="preserve">available trial courts as intensively as possible. It follows that </w:t>
      </w:r>
      <w:r w:rsidR="00E379DA" w:rsidRPr="00E648C6">
        <w:rPr>
          <w:rFonts w:cstheme="minorHAnsi"/>
        </w:rPr>
        <w:t>your help in ensuring that trials are effective</w:t>
      </w:r>
      <w:r w:rsidR="00E074CF" w:rsidRPr="00E648C6">
        <w:rPr>
          <w:rFonts w:cstheme="minorHAnsi"/>
        </w:rPr>
        <w:t xml:space="preserve"> and ready</w:t>
      </w:r>
      <w:r w:rsidR="00E379DA" w:rsidRPr="00E648C6">
        <w:rPr>
          <w:rFonts w:cstheme="minorHAnsi"/>
        </w:rPr>
        <w:t xml:space="preserve"> will be more important than ever.</w:t>
      </w:r>
      <w:r w:rsidR="009F134B" w:rsidRPr="009F134B">
        <w:rPr>
          <w:rFonts w:cstheme="minorHAnsi"/>
        </w:rPr>
        <w:t xml:space="preserve"> </w:t>
      </w:r>
      <w:r w:rsidR="009F134B">
        <w:rPr>
          <w:rFonts w:cstheme="minorHAnsi"/>
        </w:rPr>
        <w:t>We aim to continue the Isleworth approach of giving fixed dates rather than using a warned list but that makes it doubly important that advocates focus on realistic time estimates and that the trial is conducted within them.</w:t>
      </w:r>
    </w:p>
    <w:p w14:paraId="009FAA10" w14:textId="34C9523D" w:rsidR="00717A83" w:rsidRPr="00E648C6" w:rsidRDefault="008153E7" w:rsidP="002E3A7C">
      <w:pPr>
        <w:pStyle w:val="ListParagraph"/>
        <w:numPr>
          <w:ilvl w:val="0"/>
          <w:numId w:val="22"/>
        </w:numPr>
        <w:spacing w:before="240" w:after="240"/>
        <w:jc w:val="both"/>
        <w:rPr>
          <w:rFonts w:cstheme="minorHAnsi"/>
        </w:rPr>
      </w:pPr>
      <w:r>
        <w:rPr>
          <w:rFonts w:cstheme="minorHAnsi"/>
        </w:rPr>
        <w:t xml:space="preserve">In many instances we will </w:t>
      </w:r>
      <w:r w:rsidR="00BC2857">
        <w:rPr>
          <w:rFonts w:cstheme="minorHAnsi"/>
        </w:rPr>
        <w:t xml:space="preserve">list a </w:t>
      </w:r>
      <w:r w:rsidR="000D3028" w:rsidRPr="00E648C6">
        <w:rPr>
          <w:rFonts w:cstheme="minorHAnsi"/>
        </w:rPr>
        <w:t xml:space="preserve">PTR and </w:t>
      </w:r>
      <w:r w:rsidR="00BC2857">
        <w:rPr>
          <w:rFonts w:cstheme="minorHAnsi"/>
        </w:rPr>
        <w:t xml:space="preserve">we </w:t>
      </w:r>
      <w:r w:rsidR="000D3028" w:rsidRPr="00E648C6">
        <w:rPr>
          <w:rFonts w:cstheme="minorHAnsi"/>
        </w:rPr>
        <w:t>encourage personal attendance so that advocates are clear about the arrangements in cour</w:t>
      </w:r>
      <w:r w:rsidR="0095177B" w:rsidRPr="00E648C6">
        <w:rPr>
          <w:rFonts w:cstheme="minorHAnsi"/>
        </w:rPr>
        <w:t xml:space="preserve">t including how special measures are to be accomplished.  </w:t>
      </w:r>
    </w:p>
    <w:p w14:paraId="48F18F0D" w14:textId="000A3EF4" w:rsidR="00E46300" w:rsidRPr="00E648C6" w:rsidRDefault="00E46300" w:rsidP="002E3A7C">
      <w:pPr>
        <w:pStyle w:val="ListParagraph"/>
        <w:numPr>
          <w:ilvl w:val="0"/>
          <w:numId w:val="22"/>
        </w:numPr>
        <w:spacing w:before="240" w:after="240"/>
        <w:jc w:val="both"/>
        <w:rPr>
          <w:rFonts w:cstheme="minorHAnsi"/>
        </w:rPr>
      </w:pPr>
      <w:r w:rsidRPr="00E648C6">
        <w:rPr>
          <w:rFonts w:cstheme="minorHAnsi"/>
        </w:rPr>
        <w:t>Please note that remote attendance by a witness</w:t>
      </w:r>
      <w:r w:rsidR="006816D0" w:rsidRPr="00E648C6">
        <w:rPr>
          <w:rFonts w:cstheme="minorHAnsi"/>
        </w:rPr>
        <w:t xml:space="preserve"> to a trial </w:t>
      </w:r>
      <w:r w:rsidRPr="00E648C6">
        <w:rPr>
          <w:rFonts w:cstheme="minorHAnsi"/>
        </w:rPr>
        <w:t>requires an application under CrimPR 18 to be made by the calling party IN ADVANCE and for that to provide details of the proposed link and arrangements at the far end.  Any application that a civilian witness give evidence from eg home requires careful consideration</w:t>
      </w:r>
      <w:r w:rsidR="00436EAB" w:rsidRPr="00E648C6">
        <w:rPr>
          <w:rFonts w:cstheme="minorHAnsi"/>
        </w:rPr>
        <w:t xml:space="preserve"> and a full application IN ADVANCE.  It is for the party calling the witness to make those arrangements.</w:t>
      </w:r>
    </w:p>
    <w:p w14:paraId="241DC7DF" w14:textId="770FC8C1" w:rsidR="00D04806" w:rsidRDefault="00D04806" w:rsidP="002E3A7C">
      <w:pPr>
        <w:pStyle w:val="ListParagraph"/>
        <w:numPr>
          <w:ilvl w:val="0"/>
          <w:numId w:val="22"/>
        </w:numPr>
        <w:spacing w:before="240" w:after="240"/>
        <w:jc w:val="both"/>
        <w:rPr>
          <w:rFonts w:cstheme="minorHAnsi"/>
        </w:rPr>
      </w:pPr>
      <w:r w:rsidRPr="00E648C6">
        <w:rPr>
          <w:rFonts w:cstheme="minorHAnsi"/>
        </w:rPr>
        <w:t>Advocates are required to attend trials in person unless a live link direction had been obtained in advance.</w:t>
      </w:r>
      <w:r w:rsidR="00EA6A0D">
        <w:rPr>
          <w:rFonts w:cstheme="minorHAnsi"/>
        </w:rPr>
        <w:t xml:space="preserve">  </w:t>
      </w:r>
    </w:p>
    <w:p w14:paraId="33958328" w14:textId="4848343C" w:rsidR="006048F1" w:rsidRDefault="00394C76" w:rsidP="002E3A7C">
      <w:pPr>
        <w:pStyle w:val="ListParagraph"/>
        <w:numPr>
          <w:ilvl w:val="0"/>
          <w:numId w:val="22"/>
        </w:numPr>
        <w:spacing w:before="240" w:after="240"/>
        <w:jc w:val="both"/>
        <w:rPr>
          <w:rFonts w:cstheme="minorHAnsi"/>
        </w:rPr>
      </w:pPr>
      <w:r>
        <w:rPr>
          <w:rFonts w:cstheme="minorHAnsi"/>
        </w:rPr>
        <w:t>Inevitably we must prioritise cases where defendants are awaiting trials in custody.  Most, if not all, bail cases have a trial listing</w:t>
      </w:r>
      <w:r w:rsidR="00C535D2">
        <w:rPr>
          <w:rFonts w:cstheme="minorHAnsi"/>
        </w:rPr>
        <w:t xml:space="preserve"> and we are all too conscious how far into the future those extend</w:t>
      </w:r>
      <w:r>
        <w:rPr>
          <w:rFonts w:cstheme="minorHAnsi"/>
        </w:rPr>
        <w:t xml:space="preserve">.  We intend to review those to see which can be brought forward.  </w:t>
      </w:r>
      <w:r w:rsidR="00DD59A4">
        <w:rPr>
          <w:rFonts w:cstheme="minorHAnsi"/>
        </w:rPr>
        <w:t xml:space="preserve">Parties are encouraged to use the listing information proforma to alert us to cases that they feel </w:t>
      </w:r>
      <w:r w:rsidR="00363F53">
        <w:rPr>
          <w:rFonts w:cstheme="minorHAnsi"/>
        </w:rPr>
        <w:t>ought to be prioritised.</w:t>
      </w:r>
    </w:p>
    <w:p w14:paraId="61E4A19C" w14:textId="0345C645" w:rsidR="00ED6913" w:rsidRPr="00E648C6" w:rsidRDefault="00ED6913" w:rsidP="002E3A7C">
      <w:pPr>
        <w:pStyle w:val="ListParagraph"/>
        <w:numPr>
          <w:ilvl w:val="0"/>
          <w:numId w:val="22"/>
        </w:numPr>
        <w:spacing w:before="240" w:after="240"/>
        <w:jc w:val="both"/>
        <w:rPr>
          <w:rFonts w:cstheme="minorHAnsi"/>
        </w:rPr>
      </w:pPr>
      <w:r>
        <w:rPr>
          <w:rFonts w:cstheme="minorHAnsi"/>
        </w:rPr>
        <w:t>Returned proformas will be uploaded by the court to the DCS</w:t>
      </w:r>
      <w:r w:rsidR="00411998">
        <w:rPr>
          <w:rFonts w:cstheme="minorHAnsi"/>
        </w:rPr>
        <w:t xml:space="preserve"> Trial section and will therefore be visible to all parties.</w:t>
      </w:r>
    </w:p>
    <w:p w14:paraId="0630175E" w14:textId="3E4E570D" w:rsidR="00FD6CA1" w:rsidRPr="00E648C6" w:rsidRDefault="00FD6CA1" w:rsidP="0032400B">
      <w:pPr>
        <w:pStyle w:val="Heading2"/>
      </w:pPr>
      <w:bookmarkStart w:id="9" w:name="_Toc48159287"/>
      <w:r w:rsidRPr="00E648C6">
        <w:t xml:space="preserve">Personal Attendance at </w:t>
      </w:r>
      <w:r w:rsidR="0032400B">
        <w:t xml:space="preserve">non-trial </w:t>
      </w:r>
      <w:r w:rsidRPr="00E648C6">
        <w:t>Hearings</w:t>
      </w:r>
      <w:bookmarkEnd w:id="9"/>
    </w:p>
    <w:p w14:paraId="07456101" w14:textId="2111C49C" w:rsidR="008B3763" w:rsidRPr="00E648C6" w:rsidRDefault="00FD6CA1" w:rsidP="002E3A7C">
      <w:pPr>
        <w:pStyle w:val="ListParagraph"/>
        <w:numPr>
          <w:ilvl w:val="0"/>
          <w:numId w:val="22"/>
        </w:numPr>
        <w:spacing w:before="240" w:after="240"/>
        <w:jc w:val="both"/>
        <w:rPr>
          <w:rFonts w:cstheme="minorHAnsi"/>
        </w:rPr>
      </w:pPr>
      <w:r w:rsidRPr="00E648C6">
        <w:rPr>
          <w:rFonts w:cstheme="minorHAnsi"/>
        </w:rPr>
        <w:t xml:space="preserve">Isleworth hopes to continue with a flexible approach to </w:t>
      </w:r>
      <w:r w:rsidR="00CD7D20" w:rsidRPr="00E648C6">
        <w:rPr>
          <w:rFonts w:cstheme="minorHAnsi"/>
        </w:rPr>
        <w:t xml:space="preserve">personal and remote attendance of advocates for non-trial and non-sentence hearings.  </w:t>
      </w:r>
      <w:r w:rsidR="006E1AFA">
        <w:rPr>
          <w:rFonts w:cstheme="minorHAnsi"/>
        </w:rPr>
        <w:t>This can only continue if th</w:t>
      </w:r>
      <w:r w:rsidR="00357B22">
        <w:rPr>
          <w:rFonts w:cstheme="minorHAnsi"/>
        </w:rPr>
        <w:t>ose who are attending remotely are able to participate effectivel</w:t>
      </w:r>
      <w:r w:rsidR="00D779FE">
        <w:rPr>
          <w:rFonts w:cstheme="minorHAnsi"/>
        </w:rPr>
        <w:t>y, and so that the hearings are as engaged and fair as hearings attended in person.</w:t>
      </w:r>
      <w:r w:rsidR="00C74BBC" w:rsidRPr="00C74BBC">
        <w:rPr>
          <w:rFonts w:cstheme="minorHAnsi"/>
        </w:rPr>
        <w:t xml:space="preserve"> </w:t>
      </w:r>
    </w:p>
    <w:p w14:paraId="265F6180" w14:textId="1D78D924" w:rsidR="006E404B" w:rsidRPr="00E648C6" w:rsidRDefault="006E404B" w:rsidP="002E3A7C">
      <w:pPr>
        <w:pStyle w:val="ListParagraph"/>
        <w:numPr>
          <w:ilvl w:val="0"/>
          <w:numId w:val="22"/>
        </w:numPr>
        <w:spacing w:before="240" w:after="240"/>
        <w:jc w:val="both"/>
        <w:rPr>
          <w:rFonts w:cstheme="minorHAnsi"/>
        </w:rPr>
      </w:pPr>
      <w:r w:rsidRPr="00E648C6">
        <w:rPr>
          <w:rFonts w:cstheme="minorHAnsi"/>
        </w:rPr>
        <w:t xml:space="preserve">In general advocates have been attending when that is </w:t>
      </w:r>
      <w:r w:rsidR="001C470E" w:rsidRPr="00E648C6">
        <w:rPr>
          <w:rFonts w:cstheme="minorHAnsi"/>
        </w:rPr>
        <w:t xml:space="preserve">clearly beneficial and making use of remote attendance when that is </w:t>
      </w:r>
      <w:r w:rsidR="00D86698" w:rsidRPr="00E648C6">
        <w:rPr>
          <w:rFonts w:cstheme="minorHAnsi"/>
        </w:rPr>
        <w:t>appropriate but there have been issues that, now the first phase of Covid</w:t>
      </w:r>
      <w:r w:rsidR="000650B8" w:rsidRPr="00E648C6">
        <w:rPr>
          <w:rFonts w:cstheme="minorHAnsi"/>
        </w:rPr>
        <w:t xml:space="preserve"> 19</w:t>
      </w:r>
      <w:r w:rsidR="00D86698" w:rsidRPr="00E648C6">
        <w:rPr>
          <w:rFonts w:cstheme="minorHAnsi"/>
        </w:rPr>
        <w:t xml:space="preserve"> has passed</w:t>
      </w:r>
      <w:r w:rsidR="009A77FB" w:rsidRPr="00E648C6">
        <w:rPr>
          <w:rFonts w:cstheme="minorHAnsi"/>
        </w:rPr>
        <w:t>,</w:t>
      </w:r>
      <w:r w:rsidR="00D86698" w:rsidRPr="00E648C6">
        <w:rPr>
          <w:rFonts w:cstheme="minorHAnsi"/>
        </w:rPr>
        <w:t xml:space="preserve"> we have needed to address.</w:t>
      </w:r>
      <w:r w:rsidR="00893438" w:rsidRPr="00E648C6">
        <w:rPr>
          <w:rFonts w:cstheme="minorHAnsi"/>
        </w:rPr>
        <w:t xml:space="preserve">  We also acknowledge that on occasion advocates have been asked to attend in person when that could have been avoided.  It is inevitable that there will be glitches.</w:t>
      </w:r>
    </w:p>
    <w:p w14:paraId="3B91374B" w14:textId="1E187F43" w:rsidR="002828AB" w:rsidRPr="00E648C6" w:rsidRDefault="00FE0E03" w:rsidP="002E3A7C">
      <w:pPr>
        <w:pStyle w:val="ListParagraph"/>
        <w:numPr>
          <w:ilvl w:val="0"/>
          <w:numId w:val="22"/>
        </w:numPr>
        <w:spacing w:before="240" w:after="240"/>
        <w:jc w:val="both"/>
        <w:rPr>
          <w:rFonts w:cstheme="minorHAnsi"/>
        </w:rPr>
      </w:pPr>
      <w:r w:rsidRPr="00E648C6">
        <w:rPr>
          <w:rFonts w:cstheme="minorHAnsi"/>
        </w:rPr>
        <w:lastRenderedPageBreak/>
        <w:t xml:space="preserve">Particular difficulties arise if the defendant appears in person and </w:t>
      </w:r>
      <w:r w:rsidR="002B0EEB" w:rsidRPr="00E648C6">
        <w:rPr>
          <w:rFonts w:cstheme="minorHAnsi"/>
        </w:rPr>
        <w:t>the defence advocate appears remotely and we ask you to</w:t>
      </w:r>
      <w:r w:rsidR="00EA1885" w:rsidRPr="00E648C6">
        <w:rPr>
          <w:rFonts w:cstheme="minorHAnsi"/>
        </w:rPr>
        <w:t xml:space="preserve"> bear in mind that t</w:t>
      </w:r>
      <w:r w:rsidR="00B734C3" w:rsidRPr="00E648C6">
        <w:rPr>
          <w:rFonts w:cstheme="minorHAnsi"/>
        </w:rPr>
        <w:t xml:space="preserve">he court does not have facilities for video conferences between </w:t>
      </w:r>
      <w:r w:rsidR="000E3D2E" w:rsidRPr="00E648C6">
        <w:rPr>
          <w:rFonts w:cstheme="minorHAnsi"/>
        </w:rPr>
        <w:t xml:space="preserve">defendants present at court and </w:t>
      </w:r>
      <w:r w:rsidR="00B734C3" w:rsidRPr="00E648C6">
        <w:rPr>
          <w:rFonts w:cstheme="minorHAnsi"/>
        </w:rPr>
        <w:t>advocates attending remotely</w:t>
      </w:r>
      <w:r w:rsidR="000E3D2E" w:rsidRPr="00E648C6">
        <w:rPr>
          <w:rFonts w:cstheme="minorHAnsi"/>
        </w:rPr>
        <w:t>.</w:t>
      </w:r>
      <w:r w:rsidR="003C32A3" w:rsidRPr="00E648C6">
        <w:rPr>
          <w:rFonts w:cstheme="minorHAnsi"/>
        </w:rPr>
        <w:t>, either before or after the sentence.</w:t>
      </w:r>
    </w:p>
    <w:p w14:paraId="09BFC8D5" w14:textId="4EB0CB27" w:rsidR="002828AB" w:rsidRPr="00E648C6" w:rsidRDefault="00A906E8" w:rsidP="002E3A7C">
      <w:pPr>
        <w:pStyle w:val="ListParagraph"/>
        <w:numPr>
          <w:ilvl w:val="0"/>
          <w:numId w:val="22"/>
        </w:numPr>
        <w:spacing w:before="240" w:after="240"/>
        <w:jc w:val="both"/>
        <w:rPr>
          <w:rFonts w:cstheme="minorHAnsi"/>
        </w:rPr>
      </w:pPr>
      <w:r w:rsidRPr="00E648C6">
        <w:rPr>
          <w:rFonts w:cstheme="minorHAnsi"/>
        </w:rPr>
        <w:t xml:space="preserve">For remote hearings we </w:t>
      </w:r>
      <w:r w:rsidR="00C40726" w:rsidRPr="00E648C6">
        <w:rPr>
          <w:rFonts w:cstheme="minorHAnsi"/>
        </w:rPr>
        <w:t xml:space="preserve">acknowledge that the court systems have had to be improved but we </w:t>
      </w:r>
      <w:r w:rsidR="00AF266E" w:rsidRPr="00E648C6">
        <w:rPr>
          <w:rFonts w:cstheme="minorHAnsi"/>
        </w:rPr>
        <w:t xml:space="preserve">are now finding that </w:t>
      </w:r>
      <w:r w:rsidR="00C40726" w:rsidRPr="00E648C6">
        <w:rPr>
          <w:rFonts w:cstheme="minorHAnsi"/>
        </w:rPr>
        <w:t xml:space="preserve">the majority of </w:t>
      </w:r>
      <w:r w:rsidR="00605019" w:rsidRPr="00E648C6">
        <w:rPr>
          <w:rFonts w:cstheme="minorHAnsi"/>
        </w:rPr>
        <w:t xml:space="preserve">technical issues impacting on hearings are at the end of the advocates or interpreters </w:t>
      </w:r>
      <w:r w:rsidR="000650B8" w:rsidRPr="00E648C6">
        <w:rPr>
          <w:rFonts w:cstheme="minorHAnsi"/>
        </w:rPr>
        <w:t xml:space="preserve">and </w:t>
      </w:r>
      <w:r w:rsidR="00605019" w:rsidRPr="00E648C6">
        <w:rPr>
          <w:rFonts w:cstheme="minorHAnsi"/>
        </w:rPr>
        <w:t xml:space="preserve">due either to </w:t>
      </w:r>
      <w:r w:rsidR="00595DE6" w:rsidRPr="00E648C6">
        <w:rPr>
          <w:rFonts w:cstheme="minorHAnsi"/>
        </w:rPr>
        <w:t>issues with their computers or with their wifi.</w:t>
      </w:r>
      <w:r w:rsidR="00476605">
        <w:rPr>
          <w:rFonts w:cstheme="minorHAnsi"/>
        </w:rPr>
        <w:t xml:space="preserve"> Please bear in mind:</w:t>
      </w:r>
    </w:p>
    <w:p w14:paraId="24BAEF32" w14:textId="0D5C3474" w:rsidR="00967FBE" w:rsidRPr="00E648C6" w:rsidRDefault="00967FBE" w:rsidP="00A906E8">
      <w:pPr>
        <w:pStyle w:val="ListParagraph"/>
        <w:numPr>
          <w:ilvl w:val="1"/>
          <w:numId w:val="22"/>
        </w:numPr>
        <w:spacing w:before="240" w:after="240"/>
        <w:jc w:val="both"/>
        <w:rPr>
          <w:rFonts w:cstheme="minorHAnsi"/>
        </w:rPr>
      </w:pPr>
      <w:r w:rsidRPr="00E648C6">
        <w:rPr>
          <w:rFonts w:cstheme="minorHAnsi"/>
        </w:rPr>
        <w:t>Listing remote hearings</w:t>
      </w:r>
      <w:r w:rsidR="00C924E1" w:rsidRPr="00E648C6">
        <w:rPr>
          <w:rFonts w:cstheme="minorHAnsi"/>
        </w:rPr>
        <w:t xml:space="preserve"> (including any hearing when even one participant is appearing remotely)</w:t>
      </w:r>
      <w:r w:rsidRPr="00E648C6">
        <w:rPr>
          <w:rFonts w:cstheme="minorHAnsi"/>
        </w:rPr>
        <w:t xml:space="preserve"> is more complex that hearings for personal attendance</w:t>
      </w:r>
      <w:r w:rsidR="00F73D89" w:rsidRPr="00E648C6">
        <w:rPr>
          <w:rFonts w:cstheme="minorHAnsi"/>
        </w:rPr>
        <w:t>,</w:t>
      </w:r>
    </w:p>
    <w:p w14:paraId="4DDC4D10" w14:textId="68F3749F" w:rsidR="001A0898" w:rsidRDefault="001A0898" w:rsidP="00A906E8">
      <w:pPr>
        <w:pStyle w:val="ListParagraph"/>
        <w:numPr>
          <w:ilvl w:val="1"/>
          <w:numId w:val="22"/>
        </w:numPr>
        <w:spacing w:before="240" w:after="240"/>
        <w:jc w:val="both"/>
        <w:rPr>
          <w:rFonts w:cstheme="minorHAnsi"/>
        </w:rPr>
      </w:pPr>
      <w:r>
        <w:rPr>
          <w:rFonts w:cstheme="minorHAnsi"/>
        </w:rPr>
        <w:t xml:space="preserve">Where hearings are timetabled because at least one party is appearing remotely we lose </w:t>
      </w:r>
      <w:r w:rsidR="008C001B">
        <w:rPr>
          <w:rFonts w:cstheme="minorHAnsi"/>
        </w:rPr>
        <w:t xml:space="preserve">any flexibility to cope with situations such as a defendant arriving late or the need to take further instructions. </w:t>
      </w:r>
      <w:r w:rsidR="00B13501">
        <w:rPr>
          <w:rFonts w:cstheme="minorHAnsi"/>
        </w:rPr>
        <w:t xml:space="preserve">We do need to work to reliable time </w:t>
      </w:r>
      <w:r w:rsidR="005E3727">
        <w:rPr>
          <w:rFonts w:cstheme="minorHAnsi"/>
        </w:rPr>
        <w:t>estimates and</w:t>
      </w:r>
      <w:r w:rsidR="00B13501">
        <w:rPr>
          <w:rFonts w:cstheme="minorHAnsi"/>
        </w:rPr>
        <w:t xml:space="preserve"> are reliant on </w:t>
      </w:r>
      <w:r w:rsidR="00476605">
        <w:rPr>
          <w:rFonts w:cstheme="minorHAnsi"/>
        </w:rPr>
        <w:t>proper pre-hearing engagement if this is to work.</w:t>
      </w:r>
    </w:p>
    <w:p w14:paraId="145ACBFE" w14:textId="54EE1D06" w:rsidR="006A635A" w:rsidRPr="00E648C6" w:rsidRDefault="006A635A" w:rsidP="00A906E8">
      <w:pPr>
        <w:pStyle w:val="ListParagraph"/>
        <w:numPr>
          <w:ilvl w:val="1"/>
          <w:numId w:val="22"/>
        </w:numPr>
        <w:spacing w:before="240" w:after="240"/>
        <w:jc w:val="both"/>
        <w:rPr>
          <w:rFonts w:cstheme="minorHAnsi"/>
        </w:rPr>
      </w:pPr>
      <w:r w:rsidRPr="00E648C6">
        <w:rPr>
          <w:rFonts w:cstheme="minorHAnsi"/>
        </w:rPr>
        <w:t>We have noted that in cases with 4 or more defendants</w:t>
      </w:r>
      <w:r w:rsidR="00F73D89" w:rsidRPr="00E648C6">
        <w:rPr>
          <w:rFonts w:cstheme="minorHAnsi"/>
        </w:rPr>
        <w:t>,</w:t>
      </w:r>
      <w:r w:rsidRPr="00E648C6">
        <w:rPr>
          <w:rFonts w:cstheme="minorHAnsi"/>
        </w:rPr>
        <w:t xml:space="preserve"> </w:t>
      </w:r>
      <w:r w:rsidR="00A77E97" w:rsidRPr="00E648C6">
        <w:rPr>
          <w:rFonts w:cstheme="minorHAnsi"/>
        </w:rPr>
        <w:t>remote attendance is of limited effectiveness and may list those for personal attendance</w:t>
      </w:r>
      <w:r w:rsidR="002A4707" w:rsidRPr="00E648C6">
        <w:rPr>
          <w:rFonts w:cstheme="minorHAnsi"/>
        </w:rPr>
        <w:t xml:space="preserve"> by both prosecution and defence</w:t>
      </w:r>
      <w:r w:rsidR="00A77E97" w:rsidRPr="00E648C6">
        <w:rPr>
          <w:rFonts w:cstheme="minorHAnsi"/>
        </w:rPr>
        <w:t>.</w:t>
      </w:r>
    </w:p>
    <w:p w14:paraId="354120DE" w14:textId="34FA601B" w:rsidR="00B734C3" w:rsidRPr="00E648C6" w:rsidRDefault="00E136CC" w:rsidP="0065441B">
      <w:pPr>
        <w:pStyle w:val="ListParagraph"/>
        <w:numPr>
          <w:ilvl w:val="0"/>
          <w:numId w:val="22"/>
        </w:numPr>
        <w:spacing w:before="240" w:after="240"/>
        <w:jc w:val="both"/>
        <w:rPr>
          <w:rFonts w:cstheme="minorHAnsi"/>
        </w:rPr>
      </w:pPr>
      <w:r w:rsidRPr="00E648C6">
        <w:rPr>
          <w:rFonts w:cstheme="minorHAnsi"/>
        </w:rPr>
        <w:t xml:space="preserve">We have consulted with representatives of the bar and solicitors and are grateful for their input.  </w:t>
      </w:r>
      <w:r w:rsidR="00CB12FF" w:rsidRPr="00E648C6">
        <w:rPr>
          <w:rFonts w:cstheme="minorHAnsi"/>
        </w:rPr>
        <w:t>We</w:t>
      </w:r>
      <w:r w:rsidR="002828AB" w:rsidRPr="00E648C6">
        <w:rPr>
          <w:rFonts w:cstheme="minorHAnsi"/>
        </w:rPr>
        <w:t xml:space="preserve"> will move to the following approach.</w:t>
      </w:r>
      <w:r w:rsidR="00A270D1" w:rsidRPr="00E648C6">
        <w:rPr>
          <w:rFonts w:cstheme="minorHAnsi"/>
        </w:rPr>
        <w:t xml:space="preserve">  </w:t>
      </w:r>
      <w:r w:rsidR="00A270D1" w:rsidRPr="00E648C6">
        <w:rPr>
          <w:rFonts w:cstheme="minorHAnsi"/>
          <w:b/>
          <w:bCs/>
        </w:rPr>
        <w:t>This is always subject to a formal live link application for any participant under CrimPR 18</w:t>
      </w:r>
      <w:r w:rsidR="00A51637" w:rsidRPr="00E648C6">
        <w:rPr>
          <w:rFonts w:cstheme="minorHAnsi"/>
          <w:b/>
          <w:bCs/>
        </w:rPr>
        <w:t xml:space="preserve"> made in advance of the hearing</w:t>
      </w:r>
      <w:r w:rsidR="00A270D1" w:rsidRPr="00E648C6">
        <w:rPr>
          <w:rFonts w:cstheme="minorHAnsi"/>
          <w:b/>
          <w:bCs/>
        </w:rPr>
        <w:t>.</w:t>
      </w:r>
    </w:p>
    <w:p w14:paraId="6222450A" w14:textId="1B854DCC" w:rsidR="00F549DC" w:rsidRPr="0032400B" w:rsidRDefault="00F549DC" w:rsidP="0032400B">
      <w:pPr>
        <w:pStyle w:val="Heading3"/>
      </w:pPr>
      <w:bookmarkStart w:id="10" w:name="_Toc48159288"/>
      <w:r w:rsidRPr="0032400B">
        <w:t>P</w:t>
      </w:r>
      <w:r w:rsidR="00D1498A" w:rsidRPr="0032400B">
        <w:t xml:space="preserve">lea and </w:t>
      </w:r>
      <w:r w:rsidRPr="0032400B">
        <w:t>T</w:t>
      </w:r>
      <w:r w:rsidR="00D1498A" w:rsidRPr="0032400B">
        <w:t xml:space="preserve">rial </w:t>
      </w:r>
      <w:r w:rsidRPr="0032400B">
        <w:t>P</w:t>
      </w:r>
      <w:r w:rsidR="00D1498A" w:rsidRPr="0032400B">
        <w:t xml:space="preserve">reparation </w:t>
      </w:r>
      <w:r w:rsidRPr="0032400B">
        <w:t>H</w:t>
      </w:r>
      <w:r w:rsidR="00D1498A" w:rsidRPr="0032400B">
        <w:t>earings</w:t>
      </w:r>
      <w:bookmarkEnd w:id="10"/>
      <w:r w:rsidRPr="0032400B">
        <w:t xml:space="preserve"> </w:t>
      </w:r>
    </w:p>
    <w:p w14:paraId="19FC98AA" w14:textId="0E7B80D5" w:rsidR="00BC1CEC" w:rsidRPr="00E648C6" w:rsidRDefault="00BC1CEC" w:rsidP="002E3A7C">
      <w:pPr>
        <w:pStyle w:val="ListParagraph"/>
        <w:numPr>
          <w:ilvl w:val="0"/>
          <w:numId w:val="22"/>
        </w:numPr>
        <w:spacing w:before="240" w:after="240"/>
        <w:jc w:val="both"/>
        <w:rPr>
          <w:rFonts w:cstheme="minorHAnsi"/>
        </w:rPr>
      </w:pPr>
      <w:bookmarkStart w:id="11" w:name="_Hlk47693108"/>
      <w:r w:rsidRPr="00E648C6">
        <w:rPr>
          <w:rFonts w:cstheme="minorHAnsi"/>
        </w:rPr>
        <w:t xml:space="preserve">At Isleworth we will, in the short term, continue with the policy of adjourning the first PTPH for 14 days (custody) and 28 days (bail) with administrative directions. In the present difficulties we have found that </w:t>
      </w:r>
      <w:r w:rsidR="00B62191" w:rsidRPr="00E648C6">
        <w:rPr>
          <w:rFonts w:cstheme="minorHAnsi"/>
        </w:rPr>
        <w:t>has given more time for consideration and engagement.</w:t>
      </w:r>
    </w:p>
    <w:p w14:paraId="1D9AB79E" w14:textId="0CB01329" w:rsidR="00F549DC" w:rsidRPr="00E648C6" w:rsidRDefault="00F549DC" w:rsidP="002E3A7C">
      <w:pPr>
        <w:pStyle w:val="ListParagraph"/>
        <w:numPr>
          <w:ilvl w:val="0"/>
          <w:numId w:val="22"/>
        </w:numPr>
        <w:spacing w:before="240" w:after="240"/>
        <w:jc w:val="both"/>
        <w:rPr>
          <w:rFonts w:cstheme="minorHAnsi"/>
        </w:rPr>
      </w:pPr>
      <w:r w:rsidRPr="00E648C6">
        <w:rPr>
          <w:rFonts w:cstheme="minorHAnsi"/>
          <w:b/>
          <w:bCs/>
        </w:rPr>
        <w:t xml:space="preserve">Defendant attending </w:t>
      </w:r>
      <w:r w:rsidR="00EA7E46" w:rsidRPr="00E648C6">
        <w:rPr>
          <w:rFonts w:cstheme="minorHAnsi"/>
          <w:b/>
          <w:bCs/>
        </w:rPr>
        <w:t>remotely from custody:</w:t>
      </w:r>
      <w:r w:rsidR="00EA7E46" w:rsidRPr="00E648C6">
        <w:rPr>
          <w:rFonts w:cstheme="minorHAnsi"/>
        </w:rPr>
        <w:t xml:space="preserve">  Remote attendance by advocates </w:t>
      </w:r>
      <w:r w:rsidR="00F500C9" w:rsidRPr="00E648C6">
        <w:rPr>
          <w:rFonts w:cstheme="minorHAnsi"/>
        </w:rPr>
        <w:t xml:space="preserve">is </w:t>
      </w:r>
      <w:r w:rsidR="00EA7E46" w:rsidRPr="00E648C6">
        <w:rPr>
          <w:rFonts w:cstheme="minorHAnsi"/>
        </w:rPr>
        <w:t>the norm</w:t>
      </w:r>
      <w:r w:rsidR="005D6992" w:rsidRPr="00E648C6">
        <w:rPr>
          <w:rFonts w:cstheme="minorHAnsi"/>
        </w:rPr>
        <w:t xml:space="preserve"> but advocates are welcome to attend in person</w:t>
      </w:r>
      <w:r w:rsidR="00EA7E46" w:rsidRPr="00E648C6">
        <w:rPr>
          <w:rFonts w:cstheme="minorHAnsi"/>
        </w:rPr>
        <w:t xml:space="preserve">. </w:t>
      </w:r>
      <w:r w:rsidR="00293525" w:rsidRPr="00E648C6">
        <w:rPr>
          <w:rFonts w:cstheme="minorHAnsi"/>
        </w:rPr>
        <w:t>Please ensure that there is appropriate engagement</w:t>
      </w:r>
      <w:r w:rsidR="009F7F84" w:rsidRPr="00E648C6">
        <w:rPr>
          <w:rFonts w:cstheme="minorHAnsi"/>
        </w:rPr>
        <w:t xml:space="preserve"> prior to the hearing.</w:t>
      </w:r>
      <w:r w:rsidR="00B62191" w:rsidRPr="00E648C6">
        <w:rPr>
          <w:rFonts w:cstheme="minorHAnsi"/>
        </w:rPr>
        <w:t xml:space="preserve"> We are conscious of the difficulties in </w:t>
      </w:r>
      <w:r w:rsidR="00A01B53" w:rsidRPr="00E648C6">
        <w:rPr>
          <w:rFonts w:cstheme="minorHAnsi"/>
        </w:rPr>
        <w:t>organising conferences with clients.</w:t>
      </w:r>
    </w:p>
    <w:p w14:paraId="1AFEDB7B" w14:textId="0DD3C312" w:rsidR="00161449" w:rsidRPr="00E648C6" w:rsidRDefault="00293525" w:rsidP="002E3A7C">
      <w:pPr>
        <w:pStyle w:val="ListParagraph"/>
        <w:numPr>
          <w:ilvl w:val="0"/>
          <w:numId w:val="22"/>
        </w:numPr>
        <w:spacing w:before="240" w:after="240"/>
        <w:jc w:val="both"/>
        <w:rPr>
          <w:rFonts w:cstheme="minorHAnsi"/>
          <w:b/>
          <w:bCs/>
        </w:rPr>
      </w:pPr>
      <w:r w:rsidRPr="00E648C6">
        <w:rPr>
          <w:rFonts w:cstheme="minorHAnsi"/>
          <w:b/>
          <w:bCs/>
        </w:rPr>
        <w:t xml:space="preserve">Defendant in custody being produced </w:t>
      </w:r>
      <w:r w:rsidR="005036EC" w:rsidRPr="00E648C6">
        <w:rPr>
          <w:rFonts w:cstheme="minorHAnsi"/>
          <w:b/>
          <w:bCs/>
        </w:rPr>
        <w:t>OR</w:t>
      </w:r>
      <w:r w:rsidRPr="00E648C6">
        <w:rPr>
          <w:rFonts w:cstheme="minorHAnsi"/>
          <w:b/>
          <w:bCs/>
        </w:rPr>
        <w:t xml:space="preserve"> on bail:  </w:t>
      </w:r>
    </w:p>
    <w:p w14:paraId="2851DE06" w14:textId="22A08905" w:rsidR="00293525" w:rsidRPr="00E648C6" w:rsidRDefault="00161449" w:rsidP="002E3A7C">
      <w:pPr>
        <w:pStyle w:val="ListParagraph"/>
        <w:numPr>
          <w:ilvl w:val="1"/>
          <w:numId w:val="22"/>
        </w:numPr>
        <w:spacing w:before="240" w:after="240"/>
        <w:jc w:val="both"/>
        <w:rPr>
          <w:rFonts w:cstheme="minorHAnsi"/>
        </w:rPr>
      </w:pPr>
      <w:r w:rsidRPr="00E648C6">
        <w:rPr>
          <w:rFonts w:cstheme="minorHAnsi"/>
          <w:b/>
          <w:bCs/>
        </w:rPr>
        <w:t>Bail defendants</w:t>
      </w:r>
      <w:r w:rsidRPr="00E648C6">
        <w:rPr>
          <w:rFonts w:cstheme="minorHAnsi"/>
        </w:rPr>
        <w:t xml:space="preserve"> are expected to attend in person.  Some </w:t>
      </w:r>
      <w:r w:rsidRPr="00E648C6">
        <w:rPr>
          <w:rFonts w:cstheme="minorHAnsi"/>
          <w:b/>
          <w:bCs/>
        </w:rPr>
        <w:t>prisoners</w:t>
      </w:r>
      <w:r w:rsidRPr="00E648C6">
        <w:rPr>
          <w:rFonts w:cstheme="minorHAnsi"/>
        </w:rPr>
        <w:t xml:space="preserve"> will be produced – either because </w:t>
      </w:r>
      <w:r w:rsidR="00B76799" w:rsidRPr="00E648C6">
        <w:rPr>
          <w:rFonts w:cstheme="minorHAnsi"/>
        </w:rPr>
        <w:t>personal attendance is required or because video capacity is limited.</w:t>
      </w:r>
    </w:p>
    <w:p w14:paraId="03B557EA" w14:textId="4352D5D2" w:rsidR="00B76799" w:rsidRPr="00E648C6" w:rsidRDefault="00B76799" w:rsidP="002E3A7C">
      <w:pPr>
        <w:pStyle w:val="ListParagraph"/>
        <w:numPr>
          <w:ilvl w:val="1"/>
          <w:numId w:val="22"/>
        </w:numPr>
        <w:spacing w:before="240" w:after="240"/>
        <w:jc w:val="both"/>
        <w:rPr>
          <w:rFonts w:cstheme="minorHAnsi"/>
        </w:rPr>
      </w:pPr>
      <w:r w:rsidRPr="00E648C6">
        <w:rPr>
          <w:rFonts w:cstheme="minorHAnsi"/>
          <w:b/>
          <w:bCs/>
        </w:rPr>
        <w:t>Defence advocates</w:t>
      </w:r>
      <w:r w:rsidRPr="00E648C6">
        <w:rPr>
          <w:rFonts w:cstheme="minorHAnsi"/>
        </w:rPr>
        <w:t xml:space="preserve"> are expected to attend in person</w:t>
      </w:r>
      <w:r w:rsidR="000E3D2E" w:rsidRPr="00E648C6">
        <w:rPr>
          <w:rFonts w:cstheme="minorHAnsi"/>
        </w:rPr>
        <w:t xml:space="preserve"> </w:t>
      </w:r>
      <w:proofErr w:type="gramStart"/>
      <w:r w:rsidR="000E3D2E" w:rsidRPr="00E648C6">
        <w:rPr>
          <w:rFonts w:cstheme="minorHAnsi"/>
        </w:rPr>
        <w:t>so as to</w:t>
      </w:r>
      <w:proofErr w:type="gramEnd"/>
      <w:r w:rsidR="000E3D2E" w:rsidRPr="00E648C6">
        <w:rPr>
          <w:rFonts w:cstheme="minorHAnsi"/>
        </w:rPr>
        <w:t xml:space="preserve"> engage with their clients</w:t>
      </w:r>
      <w:r w:rsidR="0084187B" w:rsidRPr="00E648C6">
        <w:rPr>
          <w:rFonts w:cstheme="minorHAnsi"/>
        </w:rPr>
        <w:t xml:space="preserve">.  They may attend remotely BUT ONLY if they have had all necessary conferences, </w:t>
      </w:r>
      <w:r w:rsidR="007B4F47" w:rsidRPr="00E648C6">
        <w:rPr>
          <w:rFonts w:cstheme="minorHAnsi"/>
        </w:rPr>
        <w:t xml:space="preserve">firm NG pleas are anticipated, </w:t>
      </w:r>
      <w:r w:rsidR="0002271E" w:rsidRPr="00E648C6">
        <w:rPr>
          <w:rFonts w:cstheme="minorHAnsi"/>
        </w:rPr>
        <w:t xml:space="preserve">taken proper steps to engage with the </w:t>
      </w:r>
      <w:r w:rsidR="002C1835" w:rsidRPr="00E648C6">
        <w:rPr>
          <w:rFonts w:cstheme="minorHAnsi"/>
        </w:rPr>
        <w:t xml:space="preserve">prosecution, completed the PTPH form in advance, and have adequate </w:t>
      </w:r>
      <w:r w:rsidR="00611300">
        <w:rPr>
          <w:rFonts w:cstheme="minorHAnsi"/>
        </w:rPr>
        <w:t>wifi</w:t>
      </w:r>
      <w:r w:rsidR="002C1835" w:rsidRPr="00E648C6">
        <w:rPr>
          <w:rFonts w:cstheme="minorHAnsi"/>
        </w:rPr>
        <w:t xml:space="preserve"> to </w:t>
      </w:r>
      <w:r w:rsidR="002828AB" w:rsidRPr="00E648C6">
        <w:rPr>
          <w:rFonts w:cstheme="minorHAnsi"/>
        </w:rPr>
        <w:t>connect reliably</w:t>
      </w:r>
      <w:r w:rsidR="007B4F47" w:rsidRPr="00E648C6">
        <w:rPr>
          <w:rFonts w:cstheme="minorHAnsi"/>
        </w:rPr>
        <w:t>.</w:t>
      </w:r>
    </w:p>
    <w:p w14:paraId="4298AA88" w14:textId="7C40B56D" w:rsidR="00902BED" w:rsidRPr="00E648C6" w:rsidRDefault="00902BED" w:rsidP="002E3A7C">
      <w:pPr>
        <w:pStyle w:val="ListParagraph"/>
        <w:numPr>
          <w:ilvl w:val="1"/>
          <w:numId w:val="22"/>
        </w:numPr>
        <w:spacing w:before="240" w:after="240"/>
        <w:jc w:val="both"/>
        <w:rPr>
          <w:rFonts w:cstheme="minorHAnsi"/>
        </w:rPr>
      </w:pPr>
      <w:r w:rsidRPr="00E648C6">
        <w:rPr>
          <w:rFonts w:cstheme="minorHAnsi"/>
          <w:b/>
          <w:bCs/>
        </w:rPr>
        <w:t>Prosecution advocates</w:t>
      </w:r>
      <w:r w:rsidRPr="00E648C6">
        <w:rPr>
          <w:rFonts w:cstheme="minorHAnsi"/>
        </w:rPr>
        <w:t xml:space="preserve"> may attend remotely </w:t>
      </w:r>
      <w:r w:rsidR="005036EC" w:rsidRPr="00E648C6">
        <w:rPr>
          <w:rFonts w:cstheme="minorHAnsi"/>
        </w:rPr>
        <w:t xml:space="preserve">BUT ONLY if they have </w:t>
      </w:r>
      <w:r w:rsidR="0002271E" w:rsidRPr="00E648C6">
        <w:rPr>
          <w:rFonts w:cstheme="minorHAnsi"/>
        </w:rPr>
        <w:t xml:space="preserve">taken proper steps to engage with the defence and have </w:t>
      </w:r>
      <w:r w:rsidR="005036EC" w:rsidRPr="00E648C6">
        <w:rPr>
          <w:rFonts w:cstheme="minorHAnsi"/>
        </w:rPr>
        <w:t xml:space="preserve">adequate </w:t>
      </w:r>
      <w:r w:rsidR="00DE0657" w:rsidRPr="00E648C6">
        <w:rPr>
          <w:rFonts w:cstheme="minorHAnsi"/>
        </w:rPr>
        <w:t>W</w:t>
      </w:r>
      <w:r w:rsidR="005036EC" w:rsidRPr="00E648C6">
        <w:rPr>
          <w:rFonts w:cstheme="minorHAnsi"/>
        </w:rPr>
        <w:t>i</w:t>
      </w:r>
      <w:r w:rsidR="00DE0657" w:rsidRPr="00E648C6">
        <w:rPr>
          <w:rFonts w:cstheme="minorHAnsi"/>
        </w:rPr>
        <w:t>-F</w:t>
      </w:r>
      <w:r w:rsidR="005036EC" w:rsidRPr="00E648C6">
        <w:rPr>
          <w:rFonts w:cstheme="minorHAnsi"/>
        </w:rPr>
        <w:t>i to connect reliably.</w:t>
      </w:r>
    </w:p>
    <w:p w14:paraId="0C39A86C" w14:textId="78DE243F" w:rsidR="00DA36DE" w:rsidRPr="00E648C6" w:rsidRDefault="00DA36DE" w:rsidP="002E3A7C">
      <w:pPr>
        <w:pStyle w:val="ListParagraph"/>
        <w:numPr>
          <w:ilvl w:val="1"/>
          <w:numId w:val="22"/>
        </w:numPr>
        <w:spacing w:before="240" w:after="240"/>
        <w:jc w:val="both"/>
        <w:rPr>
          <w:rFonts w:cstheme="minorHAnsi"/>
        </w:rPr>
      </w:pPr>
      <w:r w:rsidRPr="00E648C6">
        <w:rPr>
          <w:rFonts w:cstheme="minorHAnsi"/>
          <w:b/>
          <w:bCs/>
        </w:rPr>
        <w:t>Interpreters</w:t>
      </w:r>
      <w:r w:rsidRPr="00E648C6">
        <w:rPr>
          <w:rFonts w:cstheme="minorHAnsi"/>
        </w:rPr>
        <w:t xml:space="preserve"> are expected to attend in person.</w:t>
      </w:r>
      <w:bookmarkEnd w:id="11"/>
    </w:p>
    <w:p w14:paraId="496DF917" w14:textId="78ACFCA9" w:rsidR="00DA36DE" w:rsidRPr="0032400B" w:rsidRDefault="005643A4" w:rsidP="0032400B">
      <w:pPr>
        <w:pStyle w:val="Heading3"/>
      </w:pPr>
      <w:bookmarkStart w:id="12" w:name="_Toc48159289"/>
      <w:r w:rsidRPr="0032400B">
        <w:lastRenderedPageBreak/>
        <w:t>Sentence Hearings</w:t>
      </w:r>
      <w:bookmarkEnd w:id="12"/>
    </w:p>
    <w:p w14:paraId="457DD495" w14:textId="5070B15A" w:rsidR="005643A4" w:rsidRPr="00E648C6" w:rsidRDefault="005643A4" w:rsidP="002E3A7C">
      <w:pPr>
        <w:pStyle w:val="ListParagraph"/>
        <w:numPr>
          <w:ilvl w:val="0"/>
          <w:numId w:val="22"/>
        </w:numPr>
        <w:spacing w:before="240" w:after="240"/>
        <w:jc w:val="both"/>
        <w:rPr>
          <w:rFonts w:cstheme="minorHAnsi"/>
        </w:rPr>
      </w:pPr>
      <w:r w:rsidRPr="00E648C6">
        <w:rPr>
          <w:rFonts w:cstheme="minorHAnsi"/>
          <w:b/>
          <w:bCs/>
        </w:rPr>
        <w:t>Defendant attending remotely from custody:</w:t>
      </w:r>
      <w:r w:rsidRPr="00E648C6">
        <w:rPr>
          <w:rFonts w:cstheme="minorHAnsi"/>
        </w:rPr>
        <w:t xml:space="preserve">  In general advocates may attend remotely </w:t>
      </w:r>
      <w:r w:rsidR="009969DD" w:rsidRPr="00E648C6">
        <w:rPr>
          <w:rFonts w:cstheme="minorHAnsi"/>
        </w:rPr>
        <w:t xml:space="preserve">if they have adequate </w:t>
      </w:r>
      <w:r w:rsidR="00DE0657" w:rsidRPr="00E648C6">
        <w:rPr>
          <w:rFonts w:cstheme="minorHAnsi"/>
        </w:rPr>
        <w:t>Wi-Fi</w:t>
      </w:r>
      <w:r w:rsidR="009969DD" w:rsidRPr="00E648C6">
        <w:rPr>
          <w:rFonts w:cstheme="minorHAnsi"/>
        </w:rPr>
        <w:t xml:space="preserve"> to connect reliably</w:t>
      </w:r>
      <w:r w:rsidR="00FA2778" w:rsidRPr="00E648C6">
        <w:rPr>
          <w:rFonts w:cstheme="minorHAnsi"/>
        </w:rPr>
        <w:t xml:space="preserve"> and arrangements are in place for any relevant video materials to be played as part of the sentence hearing </w:t>
      </w:r>
      <w:r w:rsidR="009969DD" w:rsidRPr="00E648C6">
        <w:rPr>
          <w:rFonts w:cstheme="minorHAnsi"/>
        </w:rPr>
        <w:t>UNLESS</w:t>
      </w:r>
      <w:r w:rsidRPr="00E648C6">
        <w:rPr>
          <w:rFonts w:cstheme="minorHAnsi"/>
        </w:rPr>
        <w:t xml:space="preserve"> a direction has been </w:t>
      </w:r>
      <w:r w:rsidR="00FB36DB" w:rsidRPr="00E648C6">
        <w:rPr>
          <w:rFonts w:cstheme="minorHAnsi"/>
        </w:rPr>
        <w:t>given requiring attendance in person.</w:t>
      </w:r>
    </w:p>
    <w:p w14:paraId="0751265C" w14:textId="19C078CD" w:rsidR="005643A4" w:rsidRPr="00E648C6" w:rsidRDefault="005643A4" w:rsidP="002E3A7C">
      <w:pPr>
        <w:pStyle w:val="ListParagraph"/>
        <w:numPr>
          <w:ilvl w:val="0"/>
          <w:numId w:val="22"/>
        </w:numPr>
        <w:spacing w:before="240" w:after="240"/>
        <w:jc w:val="both"/>
        <w:rPr>
          <w:rFonts w:cstheme="minorHAnsi"/>
          <w:b/>
          <w:bCs/>
        </w:rPr>
      </w:pPr>
      <w:r w:rsidRPr="00E648C6">
        <w:rPr>
          <w:rFonts w:cstheme="minorHAnsi"/>
          <w:b/>
          <w:bCs/>
        </w:rPr>
        <w:t>Defendant being produced</w:t>
      </w:r>
      <w:r w:rsidR="001D38C6" w:rsidRPr="00E648C6">
        <w:rPr>
          <w:rFonts w:cstheme="minorHAnsi"/>
          <w:b/>
          <w:bCs/>
        </w:rPr>
        <w:t xml:space="preserve"> in custody</w:t>
      </w:r>
      <w:r w:rsidRPr="00E648C6">
        <w:rPr>
          <w:rFonts w:cstheme="minorHAnsi"/>
          <w:b/>
          <w:bCs/>
        </w:rPr>
        <w:t xml:space="preserve"> OR </w:t>
      </w:r>
      <w:r w:rsidR="001D38C6" w:rsidRPr="00E648C6">
        <w:rPr>
          <w:rFonts w:cstheme="minorHAnsi"/>
          <w:b/>
          <w:bCs/>
        </w:rPr>
        <w:t xml:space="preserve">attending on </w:t>
      </w:r>
      <w:r w:rsidRPr="00E648C6">
        <w:rPr>
          <w:rFonts w:cstheme="minorHAnsi"/>
          <w:b/>
          <w:bCs/>
        </w:rPr>
        <w:t xml:space="preserve">bail:  </w:t>
      </w:r>
    </w:p>
    <w:p w14:paraId="4F393CCF" w14:textId="4CB591D7" w:rsidR="005643A4" w:rsidRPr="00E648C6" w:rsidRDefault="005643A4" w:rsidP="002E3A7C">
      <w:pPr>
        <w:pStyle w:val="ListParagraph"/>
        <w:numPr>
          <w:ilvl w:val="1"/>
          <w:numId w:val="22"/>
        </w:numPr>
        <w:spacing w:before="240" w:after="240"/>
        <w:jc w:val="both"/>
        <w:rPr>
          <w:rFonts w:cstheme="minorHAnsi"/>
        </w:rPr>
      </w:pPr>
      <w:r w:rsidRPr="00E648C6">
        <w:rPr>
          <w:rFonts w:cstheme="minorHAnsi"/>
        </w:rPr>
        <w:t xml:space="preserve">Bail defendants are </w:t>
      </w:r>
      <w:r w:rsidR="009969DD" w:rsidRPr="00E648C6">
        <w:rPr>
          <w:rFonts w:cstheme="minorHAnsi"/>
        </w:rPr>
        <w:t>required</w:t>
      </w:r>
      <w:r w:rsidRPr="00E648C6">
        <w:rPr>
          <w:rFonts w:cstheme="minorHAnsi"/>
        </w:rPr>
        <w:t xml:space="preserve"> to attend in person. Some prisoners will be produced – either because personal attendance is required or because video capacity is limited.</w:t>
      </w:r>
    </w:p>
    <w:p w14:paraId="61DEC38A" w14:textId="7ECA25B6" w:rsidR="005643A4" w:rsidRPr="00E648C6" w:rsidRDefault="005643A4" w:rsidP="002E3A7C">
      <w:pPr>
        <w:pStyle w:val="ListParagraph"/>
        <w:numPr>
          <w:ilvl w:val="1"/>
          <w:numId w:val="22"/>
        </w:numPr>
        <w:spacing w:before="240" w:after="240"/>
        <w:jc w:val="both"/>
        <w:rPr>
          <w:rFonts w:cstheme="minorHAnsi"/>
        </w:rPr>
      </w:pPr>
      <w:r w:rsidRPr="00E648C6">
        <w:rPr>
          <w:rFonts w:cstheme="minorHAnsi"/>
        </w:rPr>
        <w:t xml:space="preserve">Defence advocates are </w:t>
      </w:r>
      <w:r w:rsidR="00565C96" w:rsidRPr="00E648C6">
        <w:rPr>
          <w:rFonts w:cstheme="minorHAnsi"/>
        </w:rPr>
        <w:t xml:space="preserve">required </w:t>
      </w:r>
      <w:r w:rsidRPr="00E648C6">
        <w:rPr>
          <w:rFonts w:cstheme="minorHAnsi"/>
        </w:rPr>
        <w:t xml:space="preserve">to attend in person </w:t>
      </w:r>
      <w:proofErr w:type="gramStart"/>
      <w:r w:rsidRPr="00E648C6">
        <w:rPr>
          <w:rFonts w:cstheme="minorHAnsi"/>
        </w:rPr>
        <w:t>so as to</w:t>
      </w:r>
      <w:proofErr w:type="gramEnd"/>
      <w:r w:rsidRPr="00E648C6">
        <w:rPr>
          <w:rFonts w:cstheme="minorHAnsi"/>
        </w:rPr>
        <w:t xml:space="preserve"> engage with their clients</w:t>
      </w:r>
      <w:r w:rsidR="00565C96" w:rsidRPr="00E648C6">
        <w:rPr>
          <w:rFonts w:cstheme="minorHAnsi"/>
        </w:rPr>
        <w:t xml:space="preserve"> unless they have applied for and been granted a live link direction in advance</w:t>
      </w:r>
      <w:r w:rsidR="0048310E" w:rsidRPr="00E648C6">
        <w:rPr>
          <w:rFonts w:cstheme="minorHAnsi"/>
        </w:rPr>
        <w:t xml:space="preserve"> specific to the sentence hearing</w:t>
      </w:r>
      <w:r w:rsidR="00565C96" w:rsidRPr="00E648C6">
        <w:rPr>
          <w:rFonts w:cstheme="minorHAnsi"/>
        </w:rPr>
        <w:t>.  Applications may be made by email with “for the attention of the duty judge” in the subject line no later tha</w:t>
      </w:r>
      <w:r w:rsidR="00D13EDB" w:rsidRPr="00E648C6">
        <w:rPr>
          <w:rFonts w:cstheme="minorHAnsi"/>
        </w:rPr>
        <w:t xml:space="preserve">n </w:t>
      </w:r>
      <w:r w:rsidR="0048310E" w:rsidRPr="00E648C6">
        <w:rPr>
          <w:rFonts w:cstheme="minorHAnsi"/>
        </w:rPr>
        <w:t>3</w:t>
      </w:r>
      <w:r w:rsidR="00D13EDB" w:rsidRPr="00E648C6">
        <w:rPr>
          <w:rFonts w:cstheme="minorHAnsi"/>
        </w:rPr>
        <w:t xml:space="preserve"> working days</w:t>
      </w:r>
      <w:r w:rsidR="00B27701" w:rsidRPr="00E648C6">
        <w:rPr>
          <w:rStyle w:val="FootnoteReference"/>
          <w:rFonts w:cstheme="minorHAnsi"/>
        </w:rPr>
        <w:footnoteReference w:id="1"/>
      </w:r>
      <w:r w:rsidR="00D13EDB" w:rsidRPr="00E648C6">
        <w:rPr>
          <w:rFonts w:cstheme="minorHAnsi"/>
        </w:rPr>
        <w:t xml:space="preserve"> before the hearing.  In</w:t>
      </w:r>
      <w:r w:rsidR="00A7684A" w:rsidRPr="00E648C6">
        <w:rPr>
          <w:rFonts w:cstheme="minorHAnsi"/>
        </w:rPr>
        <w:t xml:space="preserve"> assessing the interests of justice test</w:t>
      </w:r>
      <w:r w:rsidR="00B23C72" w:rsidRPr="00E648C6">
        <w:rPr>
          <w:rFonts w:cstheme="minorHAnsi"/>
        </w:rPr>
        <w:t xml:space="preserve"> the judge will expect the application to confir</w:t>
      </w:r>
      <w:r w:rsidR="00504CF3" w:rsidRPr="00E648C6">
        <w:rPr>
          <w:rFonts w:cstheme="minorHAnsi"/>
        </w:rPr>
        <w:t xml:space="preserve">m that prior to the hearing the advocate will have had an effective conference with their client, that all </w:t>
      </w:r>
      <w:r w:rsidR="007055A3" w:rsidRPr="00E648C6">
        <w:rPr>
          <w:rFonts w:cstheme="minorHAnsi"/>
        </w:rPr>
        <w:t xml:space="preserve">written materials such as references will be uploaded to the DCS and </w:t>
      </w:r>
      <w:r w:rsidR="003219EB" w:rsidRPr="00E648C6">
        <w:rPr>
          <w:rFonts w:cstheme="minorHAnsi"/>
        </w:rPr>
        <w:t xml:space="preserve">that arrangements are in place to provide post sentence advice, and that they have adequate </w:t>
      </w:r>
      <w:r w:rsidR="00E36035" w:rsidRPr="00E648C6">
        <w:rPr>
          <w:rFonts w:cstheme="minorHAnsi"/>
        </w:rPr>
        <w:t>WI-FI</w:t>
      </w:r>
      <w:r w:rsidR="003219EB" w:rsidRPr="00E648C6">
        <w:rPr>
          <w:rFonts w:cstheme="minorHAnsi"/>
        </w:rPr>
        <w:t xml:space="preserve"> to connect reliably.</w:t>
      </w:r>
      <w:r w:rsidR="00A7684A" w:rsidRPr="00E648C6">
        <w:rPr>
          <w:rFonts w:cstheme="minorHAnsi"/>
        </w:rPr>
        <w:t xml:space="preserve"> </w:t>
      </w:r>
    </w:p>
    <w:p w14:paraId="3A006604" w14:textId="06C2F4FF" w:rsidR="005643A4" w:rsidRPr="00E648C6" w:rsidRDefault="005643A4" w:rsidP="002E3A7C">
      <w:pPr>
        <w:pStyle w:val="ListParagraph"/>
        <w:numPr>
          <w:ilvl w:val="1"/>
          <w:numId w:val="22"/>
        </w:numPr>
        <w:spacing w:before="240" w:after="240"/>
        <w:jc w:val="both"/>
        <w:rPr>
          <w:rFonts w:cstheme="minorHAnsi"/>
        </w:rPr>
      </w:pPr>
      <w:r w:rsidRPr="00E648C6">
        <w:rPr>
          <w:rFonts w:cstheme="minorHAnsi"/>
        </w:rPr>
        <w:t xml:space="preserve">Prosecution advocates may attend remotely BUT ONLY if they have adequate </w:t>
      </w:r>
      <w:r w:rsidR="00E36035" w:rsidRPr="00E648C6">
        <w:rPr>
          <w:rFonts w:cstheme="minorHAnsi"/>
        </w:rPr>
        <w:t>WI-FI</w:t>
      </w:r>
      <w:r w:rsidRPr="00E648C6">
        <w:rPr>
          <w:rFonts w:cstheme="minorHAnsi"/>
        </w:rPr>
        <w:t xml:space="preserve"> to connect reliably</w:t>
      </w:r>
      <w:r w:rsidR="00F10393" w:rsidRPr="00E648C6">
        <w:rPr>
          <w:rFonts w:cstheme="minorHAnsi"/>
        </w:rPr>
        <w:t xml:space="preserve"> and arrangements are in place for any relevant video materials to be played as part of the sentence hearing</w:t>
      </w:r>
      <w:r w:rsidR="003F6BA2" w:rsidRPr="00E648C6">
        <w:rPr>
          <w:rFonts w:cstheme="minorHAnsi"/>
        </w:rPr>
        <w:t>.</w:t>
      </w:r>
      <w:r w:rsidR="00F97234" w:rsidRPr="00E648C6">
        <w:rPr>
          <w:rFonts w:cstheme="minorHAnsi"/>
        </w:rPr>
        <w:t xml:space="preserve">  Our experience is that if video needs to be played with the prosecutor starting and stopping it and pointing out certain features then the prosecutor needs to be present in the courtroom.</w:t>
      </w:r>
      <w:r w:rsidR="00A76ED3" w:rsidRPr="00E648C6">
        <w:rPr>
          <w:rFonts w:cstheme="minorHAnsi"/>
        </w:rPr>
        <w:t xml:space="preserve">  Likewise</w:t>
      </w:r>
      <w:r w:rsidR="00A74F9D">
        <w:rPr>
          <w:rFonts w:cstheme="minorHAnsi"/>
        </w:rPr>
        <w:t>,</w:t>
      </w:r>
      <w:r w:rsidR="00A76ED3" w:rsidRPr="00E648C6">
        <w:rPr>
          <w:rFonts w:cstheme="minorHAnsi"/>
        </w:rPr>
        <w:t xml:space="preserve"> we require personal attendance in sentence hearings where there are </w:t>
      </w:r>
      <w:r w:rsidR="00D675AC" w:rsidRPr="00E648C6">
        <w:rPr>
          <w:rFonts w:cstheme="minorHAnsi"/>
        </w:rPr>
        <w:t>four or more defendants.</w:t>
      </w:r>
    </w:p>
    <w:p w14:paraId="3C567BF9" w14:textId="08D8E9A2" w:rsidR="005643A4" w:rsidRPr="00E648C6" w:rsidRDefault="005643A4" w:rsidP="002E3A7C">
      <w:pPr>
        <w:pStyle w:val="ListParagraph"/>
        <w:numPr>
          <w:ilvl w:val="1"/>
          <w:numId w:val="22"/>
        </w:numPr>
        <w:spacing w:before="240" w:after="240"/>
        <w:jc w:val="both"/>
        <w:rPr>
          <w:rFonts w:cstheme="minorHAnsi"/>
        </w:rPr>
      </w:pPr>
      <w:r w:rsidRPr="00E648C6">
        <w:rPr>
          <w:rFonts w:cstheme="minorHAnsi"/>
        </w:rPr>
        <w:t>Interpreters are expected to attend in person.</w:t>
      </w:r>
    </w:p>
    <w:p w14:paraId="0487A1A7" w14:textId="0156336D" w:rsidR="007F5765" w:rsidRPr="00E648C6" w:rsidRDefault="007F5765" w:rsidP="007F5765">
      <w:pPr>
        <w:pStyle w:val="ListParagraph"/>
        <w:numPr>
          <w:ilvl w:val="0"/>
          <w:numId w:val="22"/>
        </w:numPr>
        <w:spacing w:before="240" w:after="240"/>
        <w:jc w:val="both"/>
        <w:rPr>
          <w:rFonts w:cstheme="minorHAnsi"/>
          <w:b/>
          <w:bCs/>
        </w:rPr>
      </w:pPr>
      <w:r w:rsidRPr="00E648C6">
        <w:rPr>
          <w:rFonts w:cstheme="minorHAnsi"/>
          <w:b/>
          <w:bCs/>
        </w:rPr>
        <w:t>Newton Hearings:</w:t>
      </w:r>
    </w:p>
    <w:p w14:paraId="62FF94CB" w14:textId="34812E29" w:rsidR="00CF61AA" w:rsidRPr="00E648C6" w:rsidRDefault="00CF61AA" w:rsidP="00CF61AA">
      <w:pPr>
        <w:pStyle w:val="ListParagraph"/>
        <w:numPr>
          <w:ilvl w:val="1"/>
          <w:numId w:val="22"/>
        </w:numPr>
        <w:spacing w:before="240" w:after="240"/>
        <w:jc w:val="both"/>
        <w:rPr>
          <w:rFonts w:cstheme="minorHAnsi"/>
        </w:rPr>
      </w:pPr>
      <w:r w:rsidRPr="00E648C6">
        <w:rPr>
          <w:rFonts w:cstheme="minorHAnsi"/>
        </w:rPr>
        <w:t xml:space="preserve">These will be subject to direction when </w:t>
      </w:r>
      <w:r w:rsidR="0046340D" w:rsidRPr="00E648C6">
        <w:rPr>
          <w:rFonts w:cstheme="minorHAnsi"/>
        </w:rPr>
        <w:t xml:space="preserve">it is identified that the hearing is required.  </w:t>
      </w:r>
      <w:r w:rsidR="00E94C13" w:rsidRPr="00E648C6">
        <w:rPr>
          <w:rFonts w:cstheme="minorHAnsi"/>
        </w:rPr>
        <w:t>W</w:t>
      </w:r>
      <w:r w:rsidR="0046340D" w:rsidRPr="00E648C6">
        <w:rPr>
          <w:rFonts w:cstheme="minorHAnsi"/>
        </w:rPr>
        <w:t xml:space="preserve">e would expect personal attendance by defendants, advocates and witnesses unless Live link directions are </w:t>
      </w:r>
      <w:r w:rsidR="00E94C13" w:rsidRPr="00E648C6">
        <w:rPr>
          <w:rFonts w:cstheme="minorHAnsi"/>
        </w:rPr>
        <w:t>made in advance of the hearing.</w:t>
      </w:r>
    </w:p>
    <w:p w14:paraId="35CF82F3" w14:textId="2D34489B" w:rsidR="00ED3B47" w:rsidRPr="0032400B" w:rsidRDefault="00ED3B47" w:rsidP="0032400B">
      <w:pPr>
        <w:pStyle w:val="Heading2"/>
      </w:pPr>
      <w:bookmarkStart w:id="13" w:name="_Toc48159290"/>
      <w:r w:rsidRPr="0032400B">
        <w:t>Cells conferences</w:t>
      </w:r>
      <w:bookmarkEnd w:id="13"/>
    </w:p>
    <w:p w14:paraId="07027C45" w14:textId="52ED211A" w:rsidR="00ED3B47" w:rsidRPr="00E648C6" w:rsidRDefault="0072141A" w:rsidP="00ED3B47">
      <w:pPr>
        <w:pStyle w:val="ListParagraph"/>
        <w:numPr>
          <w:ilvl w:val="0"/>
          <w:numId w:val="22"/>
        </w:numPr>
        <w:spacing w:before="240" w:after="240"/>
        <w:jc w:val="both"/>
        <w:rPr>
          <w:rFonts w:cstheme="minorHAnsi"/>
        </w:rPr>
      </w:pPr>
      <w:r w:rsidRPr="00E648C6">
        <w:rPr>
          <w:rFonts w:cstheme="minorHAnsi"/>
        </w:rPr>
        <w:t>Isleworth cells can currently manage up to four face to face conferences at a time in socially distanced conditions.</w:t>
      </w:r>
    </w:p>
    <w:p w14:paraId="6E1BCCEA" w14:textId="63EDE1DB" w:rsidR="0072141A" w:rsidRPr="00E648C6" w:rsidRDefault="0072141A" w:rsidP="00ED3B47">
      <w:pPr>
        <w:pStyle w:val="ListParagraph"/>
        <w:numPr>
          <w:ilvl w:val="0"/>
          <w:numId w:val="22"/>
        </w:numPr>
        <w:spacing w:before="240" w:after="240"/>
        <w:jc w:val="both"/>
        <w:rPr>
          <w:rFonts w:cstheme="minorHAnsi"/>
        </w:rPr>
      </w:pPr>
      <w:r w:rsidRPr="00E648C6">
        <w:rPr>
          <w:rFonts w:cstheme="minorHAnsi"/>
        </w:rPr>
        <w:t>In addition</w:t>
      </w:r>
      <w:r w:rsidR="00B80B75" w:rsidRPr="00E648C6">
        <w:rPr>
          <w:rFonts w:cstheme="minorHAnsi"/>
        </w:rPr>
        <w:t>,</w:t>
      </w:r>
      <w:r w:rsidRPr="00E648C6">
        <w:rPr>
          <w:rFonts w:cstheme="minorHAnsi"/>
        </w:rPr>
        <w:t xml:space="preserve"> a telephone conference facility is available</w:t>
      </w:r>
      <w:r w:rsidR="00B80B75" w:rsidRPr="00E648C6">
        <w:rPr>
          <w:rFonts w:cstheme="minorHAnsi"/>
        </w:rPr>
        <w:t xml:space="preserve"> to assist advocates in the building.</w:t>
      </w:r>
      <w:r w:rsidRPr="00E648C6">
        <w:rPr>
          <w:rFonts w:cstheme="minorHAnsi"/>
        </w:rPr>
        <w:t xml:space="preserve">  Advocates should telephone the cells </w:t>
      </w:r>
      <w:r w:rsidR="00B80B75" w:rsidRPr="00E648C6">
        <w:rPr>
          <w:rFonts w:cstheme="minorHAnsi"/>
        </w:rPr>
        <w:t>to ask if the phone is available and if so</w:t>
      </w:r>
      <w:r w:rsidR="001D38C6" w:rsidRPr="00E648C6">
        <w:rPr>
          <w:rFonts w:cstheme="minorHAnsi"/>
        </w:rPr>
        <w:t>,</w:t>
      </w:r>
      <w:r w:rsidR="00B80B75" w:rsidRPr="00E648C6">
        <w:rPr>
          <w:rFonts w:cstheme="minorHAnsi"/>
        </w:rPr>
        <w:t xml:space="preserve"> the phone will be given to the prisoner and the advocate will be given the number to call.</w:t>
      </w:r>
      <w:r w:rsidR="00DC07AE" w:rsidRPr="00E648C6">
        <w:rPr>
          <w:rFonts w:cstheme="minorHAnsi"/>
        </w:rPr>
        <w:t xml:space="preserve">  Please observe</w:t>
      </w:r>
      <w:r w:rsidR="00E648C6" w:rsidRPr="00E648C6">
        <w:rPr>
          <w:rFonts w:cstheme="minorHAnsi"/>
        </w:rPr>
        <w:t xml:space="preserve"> fair usage principles and </w:t>
      </w:r>
      <w:r w:rsidR="00DC07AE" w:rsidRPr="00E648C6">
        <w:rPr>
          <w:rFonts w:cstheme="minorHAnsi"/>
        </w:rPr>
        <w:t>two rules:</w:t>
      </w:r>
    </w:p>
    <w:p w14:paraId="24D09002" w14:textId="6888B1C0" w:rsidR="00DC07AE" w:rsidRPr="00E648C6" w:rsidRDefault="00DC07AE" w:rsidP="00DC07AE">
      <w:pPr>
        <w:pStyle w:val="ListParagraph"/>
        <w:numPr>
          <w:ilvl w:val="1"/>
          <w:numId w:val="22"/>
        </w:numPr>
        <w:spacing w:before="240" w:after="240"/>
        <w:jc w:val="both"/>
        <w:rPr>
          <w:rFonts w:cstheme="minorHAnsi"/>
        </w:rPr>
      </w:pPr>
      <w:r w:rsidRPr="00E648C6">
        <w:rPr>
          <w:rFonts w:cstheme="minorHAnsi"/>
        </w:rPr>
        <w:t>Make the call from a place where you cannot be overheard;</w:t>
      </w:r>
    </w:p>
    <w:p w14:paraId="700752C8" w14:textId="3710941C" w:rsidR="00263759" w:rsidRDefault="009C6296" w:rsidP="0032400B">
      <w:pPr>
        <w:pStyle w:val="ListParagraph"/>
        <w:numPr>
          <w:ilvl w:val="1"/>
          <w:numId w:val="22"/>
        </w:numPr>
        <w:spacing w:before="240" w:after="240"/>
        <w:jc w:val="both"/>
        <w:rPr>
          <w:rFonts w:cstheme="minorHAnsi"/>
        </w:rPr>
      </w:pPr>
      <w:r w:rsidRPr="00E648C6">
        <w:rPr>
          <w:rFonts w:cstheme="minorHAnsi"/>
        </w:rPr>
        <w:lastRenderedPageBreak/>
        <w:t xml:space="preserve">The facility is limited to professional legal advisers and you must not give the number (or lend your phone) to </w:t>
      </w:r>
      <w:r w:rsidR="00AC3624" w:rsidRPr="00E648C6">
        <w:rPr>
          <w:rFonts w:cstheme="minorHAnsi"/>
        </w:rPr>
        <w:t>others such as family members to have a social call.</w:t>
      </w:r>
      <w:bookmarkStart w:id="14" w:name="_Toc48159291"/>
    </w:p>
    <w:p w14:paraId="120EB62A" w14:textId="7DC45671" w:rsidR="000D0E53" w:rsidRPr="00E801BF" w:rsidRDefault="005D5A27" w:rsidP="005D5A27">
      <w:pPr>
        <w:pStyle w:val="Heading2"/>
      </w:pPr>
      <w:r>
        <w:t>Video conferences with Prisoners</w:t>
      </w:r>
    </w:p>
    <w:p w14:paraId="48510AFD" w14:textId="6FA33CA1" w:rsidR="000D0E53" w:rsidRDefault="00C16267" w:rsidP="000D0E53">
      <w:pPr>
        <w:pStyle w:val="ListParagraph"/>
        <w:numPr>
          <w:ilvl w:val="0"/>
          <w:numId w:val="22"/>
        </w:numPr>
        <w:spacing w:before="240" w:after="240"/>
        <w:jc w:val="both"/>
        <w:rPr>
          <w:rFonts w:cstheme="minorHAnsi"/>
        </w:rPr>
      </w:pPr>
      <w:r>
        <w:rPr>
          <w:rFonts w:cstheme="minorHAnsi"/>
        </w:rPr>
        <w:t xml:space="preserve">We are informed that </w:t>
      </w:r>
      <w:r w:rsidR="00CC4F79">
        <w:rPr>
          <w:rFonts w:cstheme="minorHAnsi"/>
        </w:rPr>
        <w:t xml:space="preserve">within a week or so </w:t>
      </w:r>
      <w:r>
        <w:rPr>
          <w:rFonts w:cstheme="minorHAnsi"/>
        </w:rPr>
        <w:t xml:space="preserve">an additional 7 video end points will be commissioned at HMP Wormwood Scrubs.  That will bring them up from </w:t>
      </w:r>
      <w:r w:rsidR="00951C0D">
        <w:rPr>
          <w:rFonts w:cstheme="minorHAnsi"/>
        </w:rPr>
        <w:t xml:space="preserve">6 (+1 for Probation) to 14 (+1 for probation).  </w:t>
      </w:r>
    </w:p>
    <w:p w14:paraId="0212001A" w14:textId="50706BD3" w:rsidR="00BD0547" w:rsidRPr="000D0E53" w:rsidRDefault="00BD0547" w:rsidP="000D0E53">
      <w:pPr>
        <w:pStyle w:val="ListParagraph"/>
        <w:numPr>
          <w:ilvl w:val="0"/>
          <w:numId w:val="22"/>
        </w:numPr>
        <w:spacing w:before="240" w:after="240"/>
        <w:jc w:val="both"/>
        <w:rPr>
          <w:rFonts w:cstheme="minorHAnsi"/>
        </w:rPr>
      </w:pPr>
      <w:r>
        <w:rPr>
          <w:rFonts w:cstheme="minorHAnsi"/>
        </w:rPr>
        <w:t xml:space="preserve">This is part of a program for E&amp;W that should bring the total number of video end points in the prison estate up from </w:t>
      </w:r>
      <w:r w:rsidR="00CC4F79">
        <w:rPr>
          <w:rFonts w:cstheme="minorHAnsi"/>
        </w:rPr>
        <w:t>450 to over 900 by end March 2021.</w:t>
      </w:r>
    </w:p>
    <w:p w14:paraId="406621EB" w14:textId="5271BA5D" w:rsidR="002D5B80" w:rsidRPr="0032400B" w:rsidRDefault="002D5B80" w:rsidP="0032400B">
      <w:pPr>
        <w:pStyle w:val="Heading2"/>
      </w:pPr>
      <w:r w:rsidRPr="0032400B">
        <w:t>Time Estimates</w:t>
      </w:r>
      <w:bookmarkEnd w:id="14"/>
    </w:p>
    <w:p w14:paraId="1F22C424" w14:textId="783A12E8" w:rsidR="00D636A2" w:rsidRPr="00E648C6" w:rsidRDefault="002D5B80" w:rsidP="00D260A6">
      <w:pPr>
        <w:pStyle w:val="ListParagraph"/>
        <w:numPr>
          <w:ilvl w:val="0"/>
          <w:numId w:val="22"/>
        </w:numPr>
        <w:spacing w:before="240" w:after="240"/>
        <w:jc w:val="both"/>
        <w:rPr>
          <w:rFonts w:cstheme="minorHAnsi"/>
        </w:rPr>
      </w:pPr>
      <w:r w:rsidRPr="00E648C6">
        <w:rPr>
          <w:rFonts w:cstheme="minorHAnsi"/>
        </w:rPr>
        <w:t xml:space="preserve"> Where even one of the participants is attending remotely </w:t>
      </w:r>
      <w:r w:rsidR="00D260A6" w:rsidRPr="00E648C6">
        <w:rPr>
          <w:rFonts w:cstheme="minorHAnsi"/>
        </w:rPr>
        <w:t xml:space="preserve">the hearing </w:t>
      </w:r>
      <w:proofErr w:type="gramStart"/>
      <w:r w:rsidR="00D260A6" w:rsidRPr="00E648C6">
        <w:rPr>
          <w:rFonts w:cstheme="minorHAnsi"/>
        </w:rPr>
        <w:t>has to</w:t>
      </w:r>
      <w:proofErr w:type="gramEnd"/>
      <w:r w:rsidR="00D260A6" w:rsidRPr="00E648C6">
        <w:rPr>
          <w:rFonts w:cstheme="minorHAnsi"/>
        </w:rPr>
        <w:t xml:space="preserve"> be carefully timetabled.  It follows that time estimates are more important than ever before.  If unrealistic time estimates are given it may not be possible to complete the hearing</w:t>
      </w:r>
      <w:r w:rsidR="002E2191">
        <w:rPr>
          <w:rFonts w:cstheme="minorHAnsi"/>
        </w:rPr>
        <w:t>,</w:t>
      </w:r>
      <w:r w:rsidR="00D260A6" w:rsidRPr="00E648C6">
        <w:rPr>
          <w:rFonts w:cstheme="minorHAnsi"/>
        </w:rPr>
        <w:t xml:space="preserve"> so we ask everyone to give careful thought to them and if the estimate needs to be revised to inform the court as soon as possible.</w:t>
      </w:r>
    </w:p>
    <w:p w14:paraId="7F85703A" w14:textId="1EEA59CF" w:rsidR="000C596B" w:rsidRPr="0032400B" w:rsidRDefault="000C596B" w:rsidP="0032400B">
      <w:pPr>
        <w:pStyle w:val="Heading2"/>
      </w:pPr>
      <w:bookmarkStart w:id="15" w:name="_Toc48159292"/>
      <w:r w:rsidRPr="0032400B">
        <w:t>DCS Side Notes</w:t>
      </w:r>
      <w:bookmarkEnd w:id="15"/>
    </w:p>
    <w:p w14:paraId="14C17BFC" w14:textId="7A257077" w:rsidR="001A6441" w:rsidRDefault="000C596B" w:rsidP="000C596B">
      <w:pPr>
        <w:pStyle w:val="ListParagraph"/>
        <w:numPr>
          <w:ilvl w:val="0"/>
          <w:numId w:val="22"/>
        </w:numPr>
        <w:spacing w:before="240" w:after="240"/>
        <w:jc w:val="both"/>
        <w:rPr>
          <w:rFonts w:cstheme="minorHAnsi"/>
        </w:rPr>
      </w:pPr>
      <w:r w:rsidRPr="00E648C6">
        <w:rPr>
          <w:rFonts w:cstheme="minorHAnsi"/>
        </w:rPr>
        <w:t xml:space="preserve">Isleworth is trialling a </w:t>
      </w:r>
      <w:r w:rsidR="00D4280F" w:rsidRPr="00E648C6">
        <w:rPr>
          <w:rFonts w:cstheme="minorHAnsi"/>
        </w:rPr>
        <w:t xml:space="preserve">method for organising DCS side notes using a “snooker sheet” as the first document on the file.  You will spot is as a brightly coloured document in the cases on which it has been loaded.  </w:t>
      </w:r>
      <w:r w:rsidR="007D5B73" w:rsidRPr="00E648C6">
        <w:rPr>
          <w:rFonts w:cstheme="minorHAnsi"/>
        </w:rPr>
        <w:t>Please attach your widely shared notes to the coloured section appropriate to your role.</w:t>
      </w:r>
    </w:p>
    <w:p w14:paraId="09588E21" w14:textId="71F43FAA" w:rsidR="00531939" w:rsidRDefault="00651F61" w:rsidP="000C596B">
      <w:pPr>
        <w:pStyle w:val="ListParagraph"/>
        <w:numPr>
          <w:ilvl w:val="0"/>
          <w:numId w:val="22"/>
        </w:numPr>
        <w:spacing w:before="240" w:after="240"/>
        <w:jc w:val="both"/>
        <w:rPr>
          <w:rFonts w:cstheme="minorHAnsi"/>
        </w:rPr>
      </w:pPr>
      <w:r>
        <w:rPr>
          <w:rFonts w:cstheme="minorHAnsi"/>
        </w:rPr>
        <w:t>Please bear in mind that posting a widely shares comment may be seen when a parti</w:t>
      </w:r>
      <w:r w:rsidR="00F059A5">
        <w:rPr>
          <w:rFonts w:cstheme="minorHAnsi"/>
        </w:rPr>
        <w:t>ci</w:t>
      </w:r>
      <w:r>
        <w:rPr>
          <w:rFonts w:cstheme="minorHAnsi"/>
        </w:rPr>
        <w:t xml:space="preserve">pant </w:t>
      </w:r>
      <w:proofErr w:type="gramStart"/>
      <w:r>
        <w:rPr>
          <w:rFonts w:cstheme="minorHAnsi"/>
        </w:rPr>
        <w:t>acce</w:t>
      </w:r>
      <w:r w:rsidR="004B59ED">
        <w:rPr>
          <w:rFonts w:cstheme="minorHAnsi"/>
        </w:rPr>
        <w:t>s</w:t>
      </w:r>
      <w:r>
        <w:rPr>
          <w:rFonts w:cstheme="minorHAnsi"/>
        </w:rPr>
        <w:t>s</w:t>
      </w:r>
      <w:proofErr w:type="gramEnd"/>
      <w:r>
        <w:rPr>
          <w:rFonts w:cstheme="minorHAnsi"/>
        </w:rPr>
        <w:t xml:space="preserve"> the case but it does not amount to service an</w:t>
      </w:r>
      <w:r w:rsidR="004B59ED">
        <w:rPr>
          <w:rFonts w:cstheme="minorHAnsi"/>
        </w:rPr>
        <w:t xml:space="preserve">d any application </w:t>
      </w:r>
    </w:p>
    <w:p w14:paraId="3E09C29F" w14:textId="1B6E475C" w:rsidR="001A6441" w:rsidRPr="0032400B" w:rsidRDefault="001A6441" w:rsidP="0032400B">
      <w:pPr>
        <w:pStyle w:val="Heading2"/>
      </w:pPr>
      <w:bookmarkStart w:id="16" w:name="_Toc48159293"/>
      <w:r w:rsidRPr="0032400B">
        <w:t>Section 28 pre-recorded cross-examination</w:t>
      </w:r>
      <w:bookmarkEnd w:id="16"/>
      <w:r w:rsidR="008A3046" w:rsidRPr="0032400B">
        <w:t xml:space="preserve"> </w:t>
      </w:r>
    </w:p>
    <w:p w14:paraId="76F1A295" w14:textId="77777777" w:rsidR="006A116A" w:rsidRDefault="00123447" w:rsidP="00B2487F">
      <w:pPr>
        <w:pStyle w:val="ListParagraph"/>
        <w:numPr>
          <w:ilvl w:val="0"/>
          <w:numId w:val="22"/>
        </w:numPr>
        <w:spacing w:before="240" w:after="240"/>
        <w:jc w:val="both"/>
        <w:rPr>
          <w:rFonts w:cstheme="minorHAnsi"/>
        </w:rPr>
      </w:pPr>
      <w:r>
        <w:rPr>
          <w:rFonts w:cstheme="minorHAnsi"/>
        </w:rPr>
        <w:t xml:space="preserve">Court users </w:t>
      </w:r>
      <w:r w:rsidRPr="00123447">
        <w:rPr>
          <w:rFonts w:cstheme="minorHAnsi"/>
        </w:rPr>
        <w:t>will be aware that a commencement order is expected to be made on 24</w:t>
      </w:r>
      <w:r w:rsidRPr="00123447">
        <w:rPr>
          <w:rFonts w:cstheme="minorHAnsi"/>
          <w:vertAlign w:val="superscript"/>
        </w:rPr>
        <w:t>th</w:t>
      </w:r>
      <w:r w:rsidRPr="00123447">
        <w:rPr>
          <w:rFonts w:cstheme="minorHAnsi"/>
        </w:rPr>
        <w:t xml:space="preserve"> August 2020 authorising the use of s.28 </w:t>
      </w:r>
      <w:proofErr w:type="spellStart"/>
      <w:r w:rsidRPr="00123447">
        <w:rPr>
          <w:rFonts w:cstheme="minorHAnsi"/>
        </w:rPr>
        <w:t>YJCEA</w:t>
      </w:r>
      <w:proofErr w:type="spellEnd"/>
      <w:r w:rsidRPr="00123447">
        <w:rPr>
          <w:rFonts w:cstheme="minorHAnsi"/>
        </w:rPr>
        <w:t xml:space="preserve"> in London Courts.  This has the potential to apply to qualifying cases with </w:t>
      </w:r>
      <w:proofErr w:type="spellStart"/>
      <w:r w:rsidRPr="00123447">
        <w:rPr>
          <w:rFonts w:cstheme="minorHAnsi"/>
        </w:rPr>
        <w:t>PTPH’s</w:t>
      </w:r>
      <w:proofErr w:type="spellEnd"/>
      <w:r w:rsidRPr="00123447">
        <w:rPr>
          <w:rFonts w:cstheme="minorHAnsi"/>
        </w:rPr>
        <w:t xml:space="preserve"> from that day </w:t>
      </w:r>
    </w:p>
    <w:p w14:paraId="62EBE6C4" w14:textId="06634642" w:rsidR="00B2487F" w:rsidRPr="006A116A" w:rsidRDefault="00123447" w:rsidP="006A116A">
      <w:pPr>
        <w:pStyle w:val="ListParagraph"/>
        <w:numPr>
          <w:ilvl w:val="0"/>
          <w:numId w:val="22"/>
        </w:numPr>
        <w:spacing w:before="240" w:after="240"/>
        <w:jc w:val="both"/>
        <w:rPr>
          <w:rFonts w:cstheme="minorHAnsi"/>
        </w:rPr>
      </w:pPr>
      <w:r w:rsidRPr="006A116A">
        <w:rPr>
          <w:rFonts w:cstheme="minorHAnsi"/>
        </w:rPr>
        <w:t>The terms of the commencement order will determine what are qualifying cases but it is expected to be limited to cases where “</w:t>
      </w:r>
      <w:r w:rsidRPr="006A116A">
        <w:rPr>
          <w:rFonts w:cstheme="minorHAnsi"/>
          <w:color w:val="494949"/>
          <w:shd w:val="clear" w:color="auto" w:fill="FFFFFF"/>
        </w:rPr>
        <w:t xml:space="preserve">the witness is eligible for assistance by virtue of section 16 of the </w:t>
      </w:r>
      <w:proofErr w:type="gramStart"/>
      <w:r w:rsidRPr="006A116A">
        <w:rPr>
          <w:rFonts w:cstheme="minorHAnsi"/>
          <w:color w:val="494949"/>
          <w:shd w:val="clear" w:color="auto" w:fill="FFFFFF"/>
        </w:rPr>
        <w:t>Act(</w:t>
      </w:r>
      <w:proofErr w:type="gramEnd"/>
      <w:r w:rsidRPr="006A116A">
        <w:rPr>
          <w:rFonts w:cstheme="minorHAnsi"/>
          <w:color w:val="494949"/>
          <w:shd w:val="clear" w:color="auto" w:fill="FFFFFF"/>
        </w:rPr>
        <w:t>witnesses eligible for assistance on grounds of age or incapacity).”</w:t>
      </w:r>
    </w:p>
    <w:p w14:paraId="298AFD10" w14:textId="7E231092" w:rsidR="006A116A" w:rsidRPr="006A116A" w:rsidRDefault="006A116A" w:rsidP="006A116A">
      <w:pPr>
        <w:pStyle w:val="ListParagraph"/>
        <w:numPr>
          <w:ilvl w:val="0"/>
          <w:numId w:val="22"/>
        </w:numPr>
        <w:spacing w:before="240" w:after="240"/>
        <w:jc w:val="both"/>
        <w:rPr>
          <w:rFonts w:cstheme="minorHAnsi"/>
        </w:rPr>
      </w:pPr>
      <w:proofErr w:type="gramStart"/>
      <w:r>
        <w:rPr>
          <w:rFonts w:cstheme="minorHAnsi"/>
          <w:color w:val="494949"/>
          <w:shd w:val="clear" w:color="auto" w:fill="FFFFFF"/>
        </w:rPr>
        <w:t>Actually</w:t>
      </w:r>
      <w:proofErr w:type="gramEnd"/>
      <w:r>
        <w:rPr>
          <w:rFonts w:cstheme="minorHAnsi"/>
          <w:color w:val="494949"/>
          <w:shd w:val="clear" w:color="auto" w:fill="FFFFFF"/>
        </w:rPr>
        <w:t xml:space="preserve"> going live with s.28 at Isleworth will be dependent on there being in place effective </w:t>
      </w:r>
      <w:r w:rsidR="004C4918">
        <w:rPr>
          <w:rFonts w:cstheme="minorHAnsi"/>
          <w:color w:val="494949"/>
          <w:shd w:val="clear" w:color="auto" w:fill="FFFFFF"/>
        </w:rPr>
        <w:t>digital support and staffing.</w:t>
      </w:r>
    </w:p>
    <w:p w14:paraId="12FC777C" w14:textId="3F2C7598" w:rsidR="00DF511D" w:rsidRPr="00E648C6" w:rsidRDefault="002D0C8B" w:rsidP="002D0C8B">
      <w:pPr>
        <w:spacing w:before="240" w:after="240"/>
        <w:jc w:val="right"/>
        <w:rPr>
          <w:rFonts w:asciiTheme="minorHAnsi" w:hAnsiTheme="minorHAnsi" w:cstheme="minorHAnsi"/>
          <w:i/>
        </w:rPr>
      </w:pPr>
      <w:r w:rsidRPr="00E648C6">
        <w:rPr>
          <w:rFonts w:asciiTheme="minorHAnsi" w:hAnsiTheme="minorHAnsi" w:cstheme="minorHAnsi"/>
          <w:i/>
        </w:rPr>
        <w:t>HHJ Edmunds QC</w:t>
      </w:r>
    </w:p>
    <w:p w14:paraId="0ECA8355" w14:textId="522A18DF" w:rsidR="002D0C8B" w:rsidRPr="00E648C6" w:rsidRDefault="002D0C8B" w:rsidP="003A0D39">
      <w:pPr>
        <w:spacing w:before="240" w:after="240"/>
        <w:jc w:val="right"/>
        <w:rPr>
          <w:rFonts w:asciiTheme="minorHAnsi" w:hAnsiTheme="minorHAnsi" w:cstheme="minorHAnsi"/>
          <w:i/>
        </w:rPr>
      </w:pPr>
      <w:r w:rsidRPr="00E648C6">
        <w:rPr>
          <w:rFonts w:asciiTheme="minorHAnsi" w:hAnsiTheme="minorHAnsi" w:cstheme="minorHAnsi"/>
          <w:i/>
        </w:rPr>
        <w:t>Resident Judge – 12</w:t>
      </w:r>
      <w:r w:rsidRPr="00E648C6">
        <w:rPr>
          <w:rFonts w:asciiTheme="minorHAnsi" w:hAnsiTheme="minorHAnsi" w:cstheme="minorHAnsi"/>
          <w:i/>
          <w:vertAlign w:val="superscript"/>
        </w:rPr>
        <w:t>th</w:t>
      </w:r>
      <w:r w:rsidRPr="00E648C6">
        <w:rPr>
          <w:rFonts w:asciiTheme="minorHAnsi" w:hAnsiTheme="minorHAnsi" w:cstheme="minorHAnsi"/>
          <w:i/>
        </w:rPr>
        <w:t xml:space="preserve"> August 2020</w:t>
      </w:r>
    </w:p>
    <w:sectPr w:rsidR="002D0C8B" w:rsidRPr="00E648C6" w:rsidSect="006230A2">
      <w:headerReference w:type="default" r:id="rId11"/>
      <w:footerReference w:type="default" r:id="rId12"/>
      <w:headerReference w:type="first" r:id="rId13"/>
      <w:footerReference w:type="first" r:id="rId14"/>
      <w:pgSz w:w="11907" w:h="16840" w:code="9"/>
      <w:pgMar w:top="1418" w:right="1418" w:bottom="1418" w:left="1418" w:header="454"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9B60" w14:textId="77777777" w:rsidR="00E53A04" w:rsidRDefault="00E53A04">
      <w:r>
        <w:separator/>
      </w:r>
    </w:p>
  </w:endnote>
  <w:endnote w:type="continuationSeparator" w:id="0">
    <w:p w14:paraId="1DC2D81C" w14:textId="77777777" w:rsidR="00E53A04" w:rsidRDefault="00E5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97D7" w14:textId="77777777" w:rsidR="002C60FA" w:rsidRPr="00032012" w:rsidRDefault="002C60FA" w:rsidP="0025574A">
    <w:pPr>
      <w:pStyle w:val="Footer"/>
      <w:jc w:val="center"/>
      <w:rPr>
        <w:rFonts w:asciiTheme="minorHAnsi" w:hAnsiTheme="minorHAnsi" w:cstheme="minorHAnsi"/>
      </w:rPr>
    </w:pPr>
    <w:r w:rsidRPr="00032012">
      <w:rPr>
        <w:rFonts w:asciiTheme="minorHAnsi" w:hAnsiTheme="minorHAnsi" w:cstheme="minorHAnsi"/>
      </w:rPr>
      <w:t xml:space="preserve">Page </w:t>
    </w:r>
    <w:r w:rsidRPr="00032012">
      <w:rPr>
        <w:rFonts w:asciiTheme="minorHAnsi" w:hAnsiTheme="minorHAnsi" w:cstheme="minorHAnsi"/>
      </w:rPr>
      <w:fldChar w:fldCharType="begin"/>
    </w:r>
    <w:r w:rsidRPr="00032012">
      <w:rPr>
        <w:rFonts w:asciiTheme="minorHAnsi" w:hAnsiTheme="minorHAnsi" w:cstheme="minorHAnsi"/>
      </w:rPr>
      <w:instrText xml:space="preserve"> PAGE </w:instrText>
    </w:r>
    <w:r w:rsidRPr="00032012">
      <w:rPr>
        <w:rFonts w:asciiTheme="minorHAnsi" w:hAnsiTheme="minorHAnsi" w:cstheme="minorHAnsi"/>
      </w:rPr>
      <w:fldChar w:fldCharType="separate"/>
    </w:r>
    <w:r w:rsidRPr="00032012">
      <w:rPr>
        <w:rFonts w:asciiTheme="minorHAnsi" w:hAnsiTheme="minorHAnsi" w:cstheme="minorHAnsi"/>
        <w:noProof/>
      </w:rPr>
      <w:t>4</w:t>
    </w:r>
    <w:r w:rsidRPr="00032012">
      <w:rPr>
        <w:rFonts w:asciiTheme="minorHAnsi" w:hAnsiTheme="minorHAnsi" w:cstheme="minorHAnsi"/>
      </w:rPr>
      <w:fldChar w:fldCharType="end"/>
    </w:r>
    <w:r w:rsidRPr="00032012">
      <w:rPr>
        <w:rFonts w:asciiTheme="minorHAnsi" w:hAnsiTheme="minorHAnsi" w:cstheme="minorHAnsi"/>
      </w:rPr>
      <w:t xml:space="preserve"> of </w:t>
    </w:r>
    <w:r w:rsidR="000C34A1" w:rsidRPr="00032012">
      <w:rPr>
        <w:rFonts w:asciiTheme="minorHAnsi" w:hAnsiTheme="minorHAnsi" w:cstheme="minorHAnsi"/>
        <w:noProof/>
      </w:rPr>
      <w:fldChar w:fldCharType="begin"/>
    </w:r>
    <w:r w:rsidR="000C34A1" w:rsidRPr="00032012">
      <w:rPr>
        <w:rFonts w:asciiTheme="minorHAnsi" w:hAnsiTheme="minorHAnsi" w:cstheme="minorHAnsi"/>
        <w:noProof/>
      </w:rPr>
      <w:instrText xml:space="preserve"> NUMPAGES </w:instrText>
    </w:r>
    <w:r w:rsidR="000C34A1" w:rsidRPr="00032012">
      <w:rPr>
        <w:rFonts w:asciiTheme="minorHAnsi" w:hAnsiTheme="minorHAnsi" w:cstheme="minorHAnsi"/>
        <w:noProof/>
      </w:rPr>
      <w:fldChar w:fldCharType="separate"/>
    </w:r>
    <w:r w:rsidR="00B40D8A" w:rsidRPr="00032012">
      <w:rPr>
        <w:rFonts w:asciiTheme="minorHAnsi" w:hAnsiTheme="minorHAnsi" w:cstheme="minorHAnsi"/>
        <w:noProof/>
      </w:rPr>
      <w:t>1</w:t>
    </w:r>
    <w:r w:rsidR="000C34A1" w:rsidRPr="00032012">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326A" w14:textId="77777777" w:rsidR="002C60FA" w:rsidRDefault="002C60FA" w:rsidP="00FD4FDE">
    <w:pPr>
      <w:pStyle w:val="Footer"/>
      <w:tabs>
        <w:tab w:val="clear" w:pos="4153"/>
        <w:tab w:val="clear" w:pos="8306"/>
        <w:tab w:val="center" w:pos="4547"/>
        <w:tab w:val="right" w:pos="9055"/>
      </w:tabs>
      <w:rPr>
        <w:b/>
        <w:noProof/>
      </w:rPr>
    </w:pPr>
  </w:p>
  <w:p w14:paraId="38F3D856" w14:textId="77777777" w:rsidR="002C60FA" w:rsidRDefault="002C60FA" w:rsidP="00FD4FDE">
    <w:pPr>
      <w:pStyle w:val="Footer"/>
      <w:tabs>
        <w:tab w:val="clear" w:pos="4153"/>
        <w:tab w:val="clear" w:pos="8306"/>
        <w:tab w:val="center" w:pos="4547"/>
        <w:tab w:val="right" w:pos="9055"/>
      </w:tabs>
      <w:rPr>
        <w:b/>
        <w:noProof/>
      </w:rPr>
    </w:pPr>
  </w:p>
  <w:p w14:paraId="7DBF2E2F" w14:textId="77777777" w:rsidR="002C60FA" w:rsidRPr="00032012" w:rsidRDefault="002C60FA" w:rsidP="00FD4FDE">
    <w:pPr>
      <w:pStyle w:val="Footer"/>
      <w:tabs>
        <w:tab w:val="clear" w:pos="4153"/>
        <w:tab w:val="clear" w:pos="8306"/>
        <w:tab w:val="center" w:pos="4547"/>
        <w:tab w:val="right" w:pos="9055"/>
      </w:tabs>
      <w:rPr>
        <w:rFonts w:asciiTheme="minorHAnsi" w:hAnsiTheme="minorHAnsi" w:cstheme="minorHAnsi"/>
        <w:b/>
        <w:noProof/>
      </w:rPr>
    </w:pPr>
  </w:p>
  <w:p w14:paraId="2A5BC433" w14:textId="77777777" w:rsidR="002C60FA" w:rsidRPr="00032012" w:rsidRDefault="002C60FA" w:rsidP="00FD4FDE">
    <w:pPr>
      <w:pStyle w:val="Footer"/>
      <w:tabs>
        <w:tab w:val="clear" w:pos="4153"/>
        <w:tab w:val="clear" w:pos="8306"/>
        <w:tab w:val="center" w:pos="4547"/>
        <w:tab w:val="right" w:pos="9055"/>
      </w:tabs>
      <w:rPr>
        <w:rFonts w:asciiTheme="minorHAnsi" w:hAnsiTheme="minorHAnsi" w:cstheme="minorHAnsi"/>
        <w:noProof/>
      </w:rPr>
    </w:pPr>
    <w:r w:rsidRPr="00032012">
      <w:rPr>
        <w:rFonts w:asciiTheme="minorHAnsi" w:hAnsiTheme="minorHAnsi" w:cstheme="minorHAnsi"/>
        <w:b/>
        <w:noProof/>
      </w:rPr>
      <w:t>The Crown Court at Isleworth</w:t>
    </w:r>
    <w:r w:rsidRPr="00032012">
      <w:rPr>
        <w:rFonts w:asciiTheme="minorHAnsi" w:hAnsiTheme="minorHAnsi" w:cstheme="minorHAnsi"/>
        <w:noProof/>
      </w:rPr>
      <w:t xml:space="preserve">  36, Ridgeway Road  Isleworth  London  TW7 5LP</w:t>
    </w:r>
  </w:p>
  <w:p w14:paraId="1D82AD93" w14:textId="77777777" w:rsidR="002C60FA" w:rsidRPr="00032012" w:rsidRDefault="002C60FA" w:rsidP="00FD4FDE">
    <w:pPr>
      <w:pStyle w:val="Footer"/>
      <w:tabs>
        <w:tab w:val="clear" w:pos="4153"/>
        <w:tab w:val="clear" w:pos="8306"/>
        <w:tab w:val="center" w:pos="4547"/>
        <w:tab w:val="right" w:pos="9055"/>
      </w:tabs>
      <w:rPr>
        <w:rFonts w:asciiTheme="minorHAnsi" w:hAnsiTheme="minorHAnsi" w:cstheme="minorHAnsi"/>
        <w:noProof/>
      </w:rPr>
    </w:pPr>
    <w:r w:rsidRPr="00032012">
      <w:rPr>
        <w:rFonts w:asciiTheme="minorHAnsi" w:hAnsiTheme="minorHAnsi" w:cstheme="minorHAnsi"/>
        <w:b/>
        <w:noProof/>
        <w:szCs w:val="19"/>
      </w:rPr>
      <w:t>Telephone</w:t>
    </w:r>
    <w:r w:rsidRPr="00032012">
      <w:rPr>
        <w:rFonts w:asciiTheme="minorHAnsi" w:hAnsiTheme="minorHAnsi" w:cstheme="minorHAnsi"/>
        <w:noProof/>
        <w:szCs w:val="19"/>
      </w:rPr>
      <w:t xml:space="preserve"> </w:t>
    </w:r>
    <w:r w:rsidRPr="00032012">
      <w:rPr>
        <w:rFonts w:asciiTheme="minorHAnsi" w:hAnsiTheme="minorHAnsi" w:cstheme="minorHAnsi"/>
        <w:noProof/>
      </w:rPr>
      <w:t xml:space="preserve">020 8380 4500  </w:t>
    </w:r>
  </w:p>
  <w:p w14:paraId="39499A19" w14:textId="77777777" w:rsidR="002C60FA" w:rsidRPr="00032012" w:rsidRDefault="002C60FA" w:rsidP="00FD4FDE">
    <w:pPr>
      <w:pStyle w:val="Footer"/>
      <w:tabs>
        <w:tab w:val="clear" w:pos="4153"/>
        <w:tab w:val="clear" w:pos="8306"/>
        <w:tab w:val="center" w:pos="4547"/>
        <w:tab w:val="right" w:pos="9055"/>
      </w:tabs>
      <w:rPr>
        <w:rFonts w:asciiTheme="minorHAnsi" w:hAnsiTheme="minorHAnsi" w:cstheme="minorHAnsi"/>
        <w:noProof/>
      </w:rPr>
    </w:pPr>
    <w:r w:rsidRPr="00032012">
      <w:rPr>
        <w:rFonts w:asciiTheme="minorHAnsi" w:hAnsiTheme="minorHAnsi" w:cstheme="minorHAnsi"/>
        <w:b/>
        <w:noProof/>
        <w:szCs w:val="19"/>
      </w:rPr>
      <w:t>Email</w:t>
    </w:r>
    <w:r w:rsidRPr="00032012">
      <w:rPr>
        <w:rFonts w:asciiTheme="minorHAnsi" w:hAnsiTheme="minorHAnsi" w:cstheme="minorHAnsi"/>
        <w:noProof/>
        <w:szCs w:val="19"/>
      </w:rPr>
      <w:t xml:space="preserve"> </w:t>
    </w:r>
    <w:r w:rsidR="00B40D8A" w:rsidRPr="00032012">
      <w:rPr>
        <w:rFonts w:asciiTheme="minorHAnsi" w:hAnsiTheme="minorHAnsi" w:cstheme="minorHAnsi"/>
        <w:noProof/>
      </w:rPr>
      <w:t>isleworthcrowncourt@</w:t>
    </w:r>
    <w:r w:rsidR="00C825B1" w:rsidRPr="00032012">
      <w:rPr>
        <w:rFonts w:asciiTheme="minorHAnsi" w:hAnsiTheme="minorHAnsi" w:cstheme="minorHAnsi"/>
        <w:noProof/>
      </w:rPr>
      <w:t>justice.gov.uk</w:t>
    </w:r>
  </w:p>
  <w:p w14:paraId="57A985AD" w14:textId="77777777" w:rsidR="002C60FA" w:rsidRPr="00032012" w:rsidRDefault="002C60FA" w:rsidP="00FD4FDE">
    <w:pPr>
      <w:pStyle w:val="Footer"/>
      <w:tabs>
        <w:tab w:val="clear" w:pos="4153"/>
        <w:tab w:val="clear" w:pos="8306"/>
        <w:tab w:val="center" w:pos="4547"/>
        <w:tab w:val="right" w:pos="9055"/>
      </w:tabs>
      <w:rPr>
        <w:rFonts w:asciiTheme="minorHAnsi" w:hAnsiTheme="minorHAnsi" w:cstheme="minorHAnsi"/>
        <w:noProof/>
      </w:rPr>
    </w:pPr>
    <w:r w:rsidRPr="00032012">
      <w:rPr>
        <w:rFonts w:asciiTheme="minorHAnsi" w:hAnsiTheme="minorHAnsi" w:cstheme="minorHAnsi"/>
        <w:b/>
        <w:noProof/>
      </w:rPr>
      <w:t>Website</w:t>
    </w:r>
    <w:r w:rsidRPr="00032012">
      <w:rPr>
        <w:rFonts w:asciiTheme="minorHAnsi" w:hAnsiTheme="minorHAnsi" w:cstheme="minorHAnsi"/>
        <w:noProof/>
      </w:rPr>
      <w:t xml:space="preserve"> www.judiciary.gov.uk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69BDD" w14:textId="77777777" w:rsidR="00E53A04" w:rsidRDefault="00E53A04">
      <w:r>
        <w:separator/>
      </w:r>
    </w:p>
  </w:footnote>
  <w:footnote w:type="continuationSeparator" w:id="0">
    <w:p w14:paraId="7BB32C3B" w14:textId="77777777" w:rsidR="00E53A04" w:rsidRDefault="00E53A04">
      <w:r>
        <w:continuationSeparator/>
      </w:r>
    </w:p>
  </w:footnote>
  <w:footnote w:id="1">
    <w:p w14:paraId="59DCC023" w14:textId="571E3146" w:rsidR="00B27701" w:rsidRPr="0002271E" w:rsidRDefault="00B27701">
      <w:pPr>
        <w:pStyle w:val="FootnoteText"/>
        <w:rPr>
          <w:rFonts w:asciiTheme="minorHAnsi" w:hAnsiTheme="minorHAnsi" w:cstheme="minorHAnsi"/>
        </w:rPr>
      </w:pPr>
      <w:r w:rsidRPr="0002271E">
        <w:rPr>
          <w:rStyle w:val="FootnoteReference"/>
          <w:rFonts w:asciiTheme="minorHAnsi" w:hAnsiTheme="minorHAnsi" w:cstheme="minorHAnsi"/>
        </w:rPr>
        <w:footnoteRef/>
      </w:r>
      <w:r w:rsidRPr="0002271E">
        <w:rPr>
          <w:rFonts w:asciiTheme="minorHAnsi" w:hAnsiTheme="minorHAnsi" w:cstheme="minorHAnsi"/>
        </w:rPr>
        <w:t xml:space="preserve"> We acknowledge that the need to produce a pris</w:t>
      </w:r>
      <w:r w:rsidR="00846B86" w:rsidRPr="0002271E">
        <w:rPr>
          <w:rFonts w:asciiTheme="minorHAnsi" w:hAnsiTheme="minorHAnsi" w:cstheme="minorHAnsi"/>
        </w:rPr>
        <w:t xml:space="preserve">oner rather than for them to appear remotely may be notified late and less than </w:t>
      </w:r>
      <w:r w:rsidR="003A0D39">
        <w:rPr>
          <w:rFonts w:asciiTheme="minorHAnsi" w:hAnsiTheme="minorHAnsi" w:cstheme="minorHAnsi"/>
        </w:rPr>
        <w:t>3</w:t>
      </w:r>
      <w:r w:rsidR="00846B86" w:rsidRPr="0002271E">
        <w:rPr>
          <w:rFonts w:asciiTheme="minorHAnsi" w:hAnsiTheme="minorHAnsi" w:cstheme="minorHAnsi"/>
        </w:rPr>
        <w:t xml:space="preserve"> days before the hearing.  In such circumstances</w:t>
      </w:r>
      <w:r w:rsidR="00CA3962" w:rsidRPr="0002271E">
        <w:rPr>
          <w:rFonts w:asciiTheme="minorHAnsi" w:hAnsiTheme="minorHAnsi" w:cstheme="minorHAnsi"/>
        </w:rPr>
        <w:t xml:space="preserve"> a good reason for remote attendance will suffice provided that the hearing can be effective.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9432" w14:textId="77777777" w:rsidR="002C60FA" w:rsidRDefault="002C60FA" w:rsidP="00EE764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C772" w14:textId="77777777" w:rsidR="002C60FA" w:rsidRDefault="002463F8" w:rsidP="00063FF8">
    <w:pPr>
      <w:pStyle w:val="Header"/>
      <w:ind w:left="-1134" w:right="-1134"/>
      <w:jc w:val="center"/>
    </w:pPr>
    <w:r>
      <w:rPr>
        <w:noProof/>
      </w:rPr>
      <w:drawing>
        <wp:inline distT="0" distB="0" distL="0" distR="0" wp14:anchorId="2AAB6404" wp14:editId="0C28C9B1">
          <wp:extent cx="678180" cy="60198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0F6E"/>
    <w:multiLevelType w:val="hybridMultilevel"/>
    <w:tmpl w:val="2324829C"/>
    <w:lvl w:ilvl="0" w:tplc="70004FA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362606"/>
    <w:multiLevelType w:val="hybridMultilevel"/>
    <w:tmpl w:val="C720AA7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E643BFB"/>
    <w:multiLevelType w:val="hybridMultilevel"/>
    <w:tmpl w:val="AFFABE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FB7203"/>
    <w:multiLevelType w:val="hybridMultilevel"/>
    <w:tmpl w:val="496E813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7439E2"/>
    <w:multiLevelType w:val="hybridMultilevel"/>
    <w:tmpl w:val="C622BB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CB7AEA"/>
    <w:multiLevelType w:val="hybridMultilevel"/>
    <w:tmpl w:val="5CB065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63A66CF"/>
    <w:multiLevelType w:val="hybridMultilevel"/>
    <w:tmpl w:val="B142D04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B20D25"/>
    <w:multiLevelType w:val="hybridMultilevel"/>
    <w:tmpl w:val="CD84DDBC"/>
    <w:lvl w:ilvl="0" w:tplc="70004FAA">
      <w:start w:val="1"/>
      <w:numFmt w:val="decimal"/>
      <w:lvlText w:val="%1."/>
      <w:lvlJc w:val="left"/>
      <w:pPr>
        <w:tabs>
          <w:tab w:val="num" w:pos="720"/>
        </w:tabs>
        <w:ind w:left="720" w:hanging="360"/>
      </w:pPr>
      <w:rPr>
        <w:b w:val="0"/>
      </w:rPr>
    </w:lvl>
    <w:lvl w:ilvl="1" w:tplc="4D58AA3A">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B95F4F"/>
    <w:multiLevelType w:val="hybridMultilevel"/>
    <w:tmpl w:val="6AC48278"/>
    <w:lvl w:ilvl="0" w:tplc="70004FA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342D79"/>
    <w:multiLevelType w:val="hybridMultilevel"/>
    <w:tmpl w:val="8828FA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13217D"/>
    <w:multiLevelType w:val="hybridMultilevel"/>
    <w:tmpl w:val="6E9A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C0A9E"/>
    <w:multiLevelType w:val="hybridMultilevel"/>
    <w:tmpl w:val="544AF582"/>
    <w:lvl w:ilvl="0" w:tplc="403A753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0E3607"/>
    <w:multiLevelType w:val="hybridMultilevel"/>
    <w:tmpl w:val="5320772C"/>
    <w:lvl w:ilvl="0" w:tplc="4DFE6CE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415A6"/>
    <w:multiLevelType w:val="hybridMultilevel"/>
    <w:tmpl w:val="B3AC487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377F11"/>
    <w:multiLevelType w:val="hybridMultilevel"/>
    <w:tmpl w:val="4508DA4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9E77343"/>
    <w:multiLevelType w:val="hybridMultilevel"/>
    <w:tmpl w:val="B61CC3E2"/>
    <w:lvl w:ilvl="0" w:tplc="60A86B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071FAF"/>
    <w:multiLevelType w:val="hybridMultilevel"/>
    <w:tmpl w:val="81A2B8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C87941"/>
    <w:multiLevelType w:val="hybridMultilevel"/>
    <w:tmpl w:val="6E9A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8278A"/>
    <w:multiLevelType w:val="hybridMultilevel"/>
    <w:tmpl w:val="3E244E0E"/>
    <w:lvl w:ilvl="0" w:tplc="70004FA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771615"/>
    <w:multiLevelType w:val="hybridMultilevel"/>
    <w:tmpl w:val="C1C40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C6F2563"/>
    <w:multiLevelType w:val="hybridMultilevel"/>
    <w:tmpl w:val="0A1E5D28"/>
    <w:lvl w:ilvl="0" w:tplc="D8DAAE90">
      <w:start w:val="1"/>
      <w:numFmt w:val="decimal"/>
      <w:lvlText w:val="%1."/>
      <w:lvlJc w:val="left"/>
      <w:pPr>
        <w:tabs>
          <w:tab w:val="num" w:pos="720"/>
        </w:tabs>
        <w:ind w:left="720" w:hanging="360"/>
      </w:pPr>
      <w:rPr>
        <w:b w:val="0"/>
      </w:rPr>
    </w:lvl>
    <w:lvl w:ilvl="1" w:tplc="562A0552">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FAA1A7D"/>
    <w:multiLevelType w:val="hybridMultilevel"/>
    <w:tmpl w:val="D772BA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A5D0E01"/>
    <w:multiLevelType w:val="hybridMultilevel"/>
    <w:tmpl w:val="C478C7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FB77421"/>
    <w:multiLevelType w:val="hybridMultilevel"/>
    <w:tmpl w:val="69CC442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6"/>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4"/>
  </w:num>
  <w:num w:numId="10">
    <w:abstractNumId w:val="22"/>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21"/>
  </w:num>
  <w:num w:numId="16">
    <w:abstractNumId w:val="11"/>
  </w:num>
  <w:num w:numId="17">
    <w:abstractNumId w:val="2"/>
  </w:num>
  <w:num w:numId="18">
    <w:abstractNumId w:val="7"/>
  </w:num>
  <w:num w:numId="19">
    <w:abstractNumId w:val="0"/>
  </w:num>
  <w:num w:numId="20">
    <w:abstractNumId w:val="8"/>
  </w:num>
  <w:num w:numId="21">
    <w:abstractNumId w:val="18"/>
  </w:num>
  <w:num w:numId="22">
    <w:abstractNumId w:val="12"/>
  </w:num>
  <w:num w:numId="23">
    <w:abstractNumId w:val="5"/>
  </w:num>
  <w:num w:numId="24">
    <w:abstractNumId w:val="1"/>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EB"/>
    <w:rsid w:val="00000362"/>
    <w:rsid w:val="0000443E"/>
    <w:rsid w:val="000073B4"/>
    <w:rsid w:val="000122E2"/>
    <w:rsid w:val="00016370"/>
    <w:rsid w:val="00016BD7"/>
    <w:rsid w:val="00017325"/>
    <w:rsid w:val="00020BC2"/>
    <w:rsid w:val="0002240A"/>
    <w:rsid w:val="0002271E"/>
    <w:rsid w:val="00032012"/>
    <w:rsid w:val="0003724C"/>
    <w:rsid w:val="000460A5"/>
    <w:rsid w:val="00055096"/>
    <w:rsid w:val="00056E9F"/>
    <w:rsid w:val="00060510"/>
    <w:rsid w:val="00063278"/>
    <w:rsid w:val="00063FF8"/>
    <w:rsid w:val="000643D7"/>
    <w:rsid w:val="000650B8"/>
    <w:rsid w:val="00067178"/>
    <w:rsid w:val="00071AD2"/>
    <w:rsid w:val="000736BF"/>
    <w:rsid w:val="00080849"/>
    <w:rsid w:val="0008430E"/>
    <w:rsid w:val="00084A61"/>
    <w:rsid w:val="00087484"/>
    <w:rsid w:val="0009250F"/>
    <w:rsid w:val="000948D9"/>
    <w:rsid w:val="00094A6B"/>
    <w:rsid w:val="000A01AD"/>
    <w:rsid w:val="000A0672"/>
    <w:rsid w:val="000B30C7"/>
    <w:rsid w:val="000C1028"/>
    <w:rsid w:val="000C34A1"/>
    <w:rsid w:val="000C5421"/>
    <w:rsid w:val="000C596B"/>
    <w:rsid w:val="000D0E53"/>
    <w:rsid w:val="000D3028"/>
    <w:rsid w:val="000E3D2E"/>
    <w:rsid w:val="000F1DF1"/>
    <w:rsid w:val="000F21FE"/>
    <w:rsid w:val="000F53F3"/>
    <w:rsid w:val="000F5DE5"/>
    <w:rsid w:val="000F62B5"/>
    <w:rsid w:val="000F72C5"/>
    <w:rsid w:val="000F79E2"/>
    <w:rsid w:val="0010560B"/>
    <w:rsid w:val="00105C17"/>
    <w:rsid w:val="00107E0C"/>
    <w:rsid w:val="0011235C"/>
    <w:rsid w:val="00112483"/>
    <w:rsid w:val="001179AC"/>
    <w:rsid w:val="00123447"/>
    <w:rsid w:val="00124FBB"/>
    <w:rsid w:val="001258BF"/>
    <w:rsid w:val="0012658C"/>
    <w:rsid w:val="0012722F"/>
    <w:rsid w:val="0013515B"/>
    <w:rsid w:val="00135271"/>
    <w:rsid w:val="001356E8"/>
    <w:rsid w:val="00137B85"/>
    <w:rsid w:val="00141EE5"/>
    <w:rsid w:val="00151515"/>
    <w:rsid w:val="00152739"/>
    <w:rsid w:val="001528A4"/>
    <w:rsid w:val="0015606F"/>
    <w:rsid w:val="001567C6"/>
    <w:rsid w:val="00161449"/>
    <w:rsid w:val="0016471E"/>
    <w:rsid w:val="00165805"/>
    <w:rsid w:val="00165C84"/>
    <w:rsid w:val="00180A48"/>
    <w:rsid w:val="00181ED4"/>
    <w:rsid w:val="001832BE"/>
    <w:rsid w:val="00184EF1"/>
    <w:rsid w:val="00187866"/>
    <w:rsid w:val="00192927"/>
    <w:rsid w:val="00194908"/>
    <w:rsid w:val="001A0898"/>
    <w:rsid w:val="001A12BC"/>
    <w:rsid w:val="001A38EC"/>
    <w:rsid w:val="001A4DAE"/>
    <w:rsid w:val="001A5629"/>
    <w:rsid w:val="001A6441"/>
    <w:rsid w:val="001A6527"/>
    <w:rsid w:val="001A7C98"/>
    <w:rsid w:val="001B02E8"/>
    <w:rsid w:val="001C389B"/>
    <w:rsid w:val="001C470E"/>
    <w:rsid w:val="001D38C6"/>
    <w:rsid w:val="001D672E"/>
    <w:rsid w:val="001E2C00"/>
    <w:rsid w:val="001E5FCE"/>
    <w:rsid w:val="001F279A"/>
    <w:rsid w:val="001F351B"/>
    <w:rsid w:val="001F4B92"/>
    <w:rsid w:val="001F4FA2"/>
    <w:rsid w:val="001F581D"/>
    <w:rsid w:val="0020314D"/>
    <w:rsid w:val="002032FC"/>
    <w:rsid w:val="00206B10"/>
    <w:rsid w:val="002079DF"/>
    <w:rsid w:val="002162B9"/>
    <w:rsid w:val="00220CB5"/>
    <w:rsid w:val="00230419"/>
    <w:rsid w:val="0023752B"/>
    <w:rsid w:val="00237759"/>
    <w:rsid w:val="0024061C"/>
    <w:rsid w:val="002410D2"/>
    <w:rsid w:val="0024137E"/>
    <w:rsid w:val="00242AAB"/>
    <w:rsid w:val="002463F8"/>
    <w:rsid w:val="002468C3"/>
    <w:rsid w:val="00246D16"/>
    <w:rsid w:val="0025574A"/>
    <w:rsid w:val="00257911"/>
    <w:rsid w:val="00263759"/>
    <w:rsid w:val="00266D19"/>
    <w:rsid w:val="002676F4"/>
    <w:rsid w:val="0027095C"/>
    <w:rsid w:val="00271875"/>
    <w:rsid w:val="0027766D"/>
    <w:rsid w:val="00277706"/>
    <w:rsid w:val="0028009F"/>
    <w:rsid w:val="00282455"/>
    <w:rsid w:val="002828AB"/>
    <w:rsid w:val="002848F9"/>
    <w:rsid w:val="00286E41"/>
    <w:rsid w:val="002920CF"/>
    <w:rsid w:val="00293525"/>
    <w:rsid w:val="00295A7C"/>
    <w:rsid w:val="00297BDD"/>
    <w:rsid w:val="002A4707"/>
    <w:rsid w:val="002A4B74"/>
    <w:rsid w:val="002B0EEB"/>
    <w:rsid w:val="002B2F2E"/>
    <w:rsid w:val="002C0C40"/>
    <w:rsid w:val="002C1835"/>
    <w:rsid w:val="002C52FE"/>
    <w:rsid w:val="002C60FA"/>
    <w:rsid w:val="002C64BE"/>
    <w:rsid w:val="002D0C8B"/>
    <w:rsid w:val="002D119A"/>
    <w:rsid w:val="002D15B6"/>
    <w:rsid w:val="002D5B80"/>
    <w:rsid w:val="002D6892"/>
    <w:rsid w:val="002D76BD"/>
    <w:rsid w:val="002E2191"/>
    <w:rsid w:val="002E3A7C"/>
    <w:rsid w:val="002E5BBA"/>
    <w:rsid w:val="002E7A5A"/>
    <w:rsid w:val="002F13E0"/>
    <w:rsid w:val="00300A0C"/>
    <w:rsid w:val="00300A36"/>
    <w:rsid w:val="00301BD9"/>
    <w:rsid w:val="0030341C"/>
    <w:rsid w:val="003108AD"/>
    <w:rsid w:val="00310FC3"/>
    <w:rsid w:val="00312FA0"/>
    <w:rsid w:val="00313902"/>
    <w:rsid w:val="00313EF5"/>
    <w:rsid w:val="0031622A"/>
    <w:rsid w:val="00317D41"/>
    <w:rsid w:val="003219EB"/>
    <w:rsid w:val="00323336"/>
    <w:rsid w:val="0032400B"/>
    <w:rsid w:val="003256B0"/>
    <w:rsid w:val="00325E15"/>
    <w:rsid w:val="00330754"/>
    <w:rsid w:val="00331655"/>
    <w:rsid w:val="00342F58"/>
    <w:rsid w:val="0034619F"/>
    <w:rsid w:val="00352BEC"/>
    <w:rsid w:val="00356753"/>
    <w:rsid w:val="00357B22"/>
    <w:rsid w:val="003608CA"/>
    <w:rsid w:val="00361AC7"/>
    <w:rsid w:val="00361B8E"/>
    <w:rsid w:val="00363F53"/>
    <w:rsid w:val="003721CC"/>
    <w:rsid w:val="003762C8"/>
    <w:rsid w:val="0037794B"/>
    <w:rsid w:val="00381DF5"/>
    <w:rsid w:val="00381EF3"/>
    <w:rsid w:val="00386373"/>
    <w:rsid w:val="00394C76"/>
    <w:rsid w:val="0039624E"/>
    <w:rsid w:val="00396770"/>
    <w:rsid w:val="00397E7F"/>
    <w:rsid w:val="003A0D39"/>
    <w:rsid w:val="003A1F7E"/>
    <w:rsid w:val="003A7A43"/>
    <w:rsid w:val="003B30D3"/>
    <w:rsid w:val="003B5A8F"/>
    <w:rsid w:val="003C32A3"/>
    <w:rsid w:val="003C366F"/>
    <w:rsid w:val="003D0D07"/>
    <w:rsid w:val="003D6586"/>
    <w:rsid w:val="003E57E7"/>
    <w:rsid w:val="003E72C2"/>
    <w:rsid w:val="003F6BA2"/>
    <w:rsid w:val="00400F19"/>
    <w:rsid w:val="00404A8C"/>
    <w:rsid w:val="00410102"/>
    <w:rsid w:val="0041142F"/>
    <w:rsid w:val="00411998"/>
    <w:rsid w:val="0041259F"/>
    <w:rsid w:val="00413532"/>
    <w:rsid w:val="004140D3"/>
    <w:rsid w:val="00414F0A"/>
    <w:rsid w:val="00416B9A"/>
    <w:rsid w:val="004204E3"/>
    <w:rsid w:val="0042065C"/>
    <w:rsid w:val="0042133C"/>
    <w:rsid w:val="0042591B"/>
    <w:rsid w:val="00426818"/>
    <w:rsid w:val="00430F80"/>
    <w:rsid w:val="00431209"/>
    <w:rsid w:val="00431AB3"/>
    <w:rsid w:val="00434D5A"/>
    <w:rsid w:val="00436EAB"/>
    <w:rsid w:val="00436EC7"/>
    <w:rsid w:val="00441E5F"/>
    <w:rsid w:val="0046340D"/>
    <w:rsid w:val="00464119"/>
    <w:rsid w:val="004651DE"/>
    <w:rsid w:val="00473C4F"/>
    <w:rsid w:val="00476605"/>
    <w:rsid w:val="00477A7F"/>
    <w:rsid w:val="00480547"/>
    <w:rsid w:val="0048310E"/>
    <w:rsid w:val="004A0139"/>
    <w:rsid w:val="004A06A2"/>
    <w:rsid w:val="004A313D"/>
    <w:rsid w:val="004A3764"/>
    <w:rsid w:val="004A6C32"/>
    <w:rsid w:val="004B12D5"/>
    <w:rsid w:val="004B22D2"/>
    <w:rsid w:val="004B4B61"/>
    <w:rsid w:val="004B59ED"/>
    <w:rsid w:val="004B6124"/>
    <w:rsid w:val="004C2794"/>
    <w:rsid w:val="004C4918"/>
    <w:rsid w:val="004C4938"/>
    <w:rsid w:val="004D0300"/>
    <w:rsid w:val="004D1381"/>
    <w:rsid w:val="004D194B"/>
    <w:rsid w:val="004D1BD9"/>
    <w:rsid w:val="004D5D08"/>
    <w:rsid w:val="004D7916"/>
    <w:rsid w:val="004D7A3A"/>
    <w:rsid w:val="004E2C9A"/>
    <w:rsid w:val="004E4B01"/>
    <w:rsid w:val="004E5554"/>
    <w:rsid w:val="004E6C74"/>
    <w:rsid w:val="004E7B24"/>
    <w:rsid w:val="004F0234"/>
    <w:rsid w:val="004F196A"/>
    <w:rsid w:val="004F23DE"/>
    <w:rsid w:val="004F3846"/>
    <w:rsid w:val="004F4AE5"/>
    <w:rsid w:val="004F6EC0"/>
    <w:rsid w:val="005036EC"/>
    <w:rsid w:val="00504958"/>
    <w:rsid w:val="00504CF3"/>
    <w:rsid w:val="005061EE"/>
    <w:rsid w:val="00510857"/>
    <w:rsid w:val="0052206F"/>
    <w:rsid w:val="005234D0"/>
    <w:rsid w:val="00523F27"/>
    <w:rsid w:val="00531939"/>
    <w:rsid w:val="005372EA"/>
    <w:rsid w:val="00542EA3"/>
    <w:rsid w:val="005451F4"/>
    <w:rsid w:val="0054588A"/>
    <w:rsid w:val="005464FF"/>
    <w:rsid w:val="00546AC2"/>
    <w:rsid w:val="005479D0"/>
    <w:rsid w:val="005506EF"/>
    <w:rsid w:val="00551BCC"/>
    <w:rsid w:val="0055207A"/>
    <w:rsid w:val="0055241C"/>
    <w:rsid w:val="005550A5"/>
    <w:rsid w:val="00556322"/>
    <w:rsid w:val="005634CD"/>
    <w:rsid w:val="005643A4"/>
    <w:rsid w:val="00564CBF"/>
    <w:rsid w:val="0056587B"/>
    <w:rsid w:val="00565C86"/>
    <w:rsid w:val="00565C96"/>
    <w:rsid w:val="00571191"/>
    <w:rsid w:val="0057470A"/>
    <w:rsid w:val="00580251"/>
    <w:rsid w:val="0058137C"/>
    <w:rsid w:val="00582A77"/>
    <w:rsid w:val="00587EC4"/>
    <w:rsid w:val="005913B9"/>
    <w:rsid w:val="00591DC4"/>
    <w:rsid w:val="00595DE6"/>
    <w:rsid w:val="00597049"/>
    <w:rsid w:val="005A71FB"/>
    <w:rsid w:val="005B1DD6"/>
    <w:rsid w:val="005B5D41"/>
    <w:rsid w:val="005B7209"/>
    <w:rsid w:val="005D0B37"/>
    <w:rsid w:val="005D1165"/>
    <w:rsid w:val="005D145C"/>
    <w:rsid w:val="005D1498"/>
    <w:rsid w:val="005D1F30"/>
    <w:rsid w:val="005D2C9A"/>
    <w:rsid w:val="005D44AE"/>
    <w:rsid w:val="005D5A27"/>
    <w:rsid w:val="005D6992"/>
    <w:rsid w:val="005E3727"/>
    <w:rsid w:val="005E67A2"/>
    <w:rsid w:val="005F2AD1"/>
    <w:rsid w:val="005F2BFA"/>
    <w:rsid w:val="005F5E84"/>
    <w:rsid w:val="006048F1"/>
    <w:rsid w:val="00605019"/>
    <w:rsid w:val="00606256"/>
    <w:rsid w:val="00611300"/>
    <w:rsid w:val="00612F0D"/>
    <w:rsid w:val="006134C8"/>
    <w:rsid w:val="00616478"/>
    <w:rsid w:val="00617947"/>
    <w:rsid w:val="00617F5D"/>
    <w:rsid w:val="006230A2"/>
    <w:rsid w:val="0062403F"/>
    <w:rsid w:val="006324A7"/>
    <w:rsid w:val="006413C1"/>
    <w:rsid w:val="00647DCA"/>
    <w:rsid w:val="00651F61"/>
    <w:rsid w:val="0065441B"/>
    <w:rsid w:val="00665156"/>
    <w:rsid w:val="006652D9"/>
    <w:rsid w:val="00670DC2"/>
    <w:rsid w:val="00672FC5"/>
    <w:rsid w:val="006765DC"/>
    <w:rsid w:val="006769DA"/>
    <w:rsid w:val="00681222"/>
    <w:rsid w:val="006816D0"/>
    <w:rsid w:val="00681D84"/>
    <w:rsid w:val="006820C9"/>
    <w:rsid w:val="00682C2F"/>
    <w:rsid w:val="006838A8"/>
    <w:rsid w:val="00683BAD"/>
    <w:rsid w:val="006859C3"/>
    <w:rsid w:val="00690E6A"/>
    <w:rsid w:val="0069340D"/>
    <w:rsid w:val="00695E68"/>
    <w:rsid w:val="00696217"/>
    <w:rsid w:val="006A116A"/>
    <w:rsid w:val="006A635A"/>
    <w:rsid w:val="006A6654"/>
    <w:rsid w:val="006B0102"/>
    <w:rsid w:val="006B1CAF"/>
    <w:rsid w:val="006C12CC"/>
    <w:rsid w:val="006C42AD"/>
    <w:rsid w:val="006D1CD5"/>
    <w:rsid w:val="006D3EE3"/>
    <w:rsid w:val="006D4245"/>
    <w:rsid w:val="006D4445"/>
    <w:rsid w:val="006D6DFE"/>
    <w:rsid w:val="006E07A3"/>
    <w:rsid w:val="006E1AFA"/>
    <w:rsid w:val="006E404B"/>
    <w:rsid w:val="006E6022"/>
    <w:rsid w:val="006E7EEB"/>
    <w:rsid w:val="006F0923"/>
    <w:rsid w:val="006F42A0"/>
    <w:rsid w:val="00702F84"/>
    <w:rsid w:val="007055A3"/>
    <w:rsid w:val="00711490"/>
    <w:rsid w:val="00713009"/>
    <w:rsid w:val="00716654"/>
    <w:rsid w:val="00717A83"/>
    <w:rsid w:val="0072051F"/>
    <w:rsid w:val="0072141A"/>
    <w:rsid w:val="00732CDF"/>
    <w:rsid w:val="00737324"/>
    <w:rsid w:val="007418AC"/>
    <w:rsid w:val="00741FFC"/>
    <w:rsid w:val="007457E6"/>
    <w:rsid w:val="00746848"/>
    <w:rsid w:val="007474CA"/>
    <w:rsid w:val="0074790B"/>
    <w:rsid w:val="00767AAA"/>
    <w:rsid w:val="0077360B"/>
    <w:rsid w:val="007737A4"/>
    <w:rsid w:val="0077513F"/>
    <w:rsid w:val="00776440"/>
    <w:rsid w:val="007811FF"/>
    <w:rsid w:val="0078247F"/>
    <w:rsid w:val="00785551"/>
    <w:rsid w:val="00787F9F"/>
    <w:rsid w:val="00793F12"/>
    <w:rsid w:val="0079429D"/>
    <w:rsid w:val="00797D64"/>
    <w:rsid w:val="007A0315"/>
    <w:rsid w:val="007A10B1"/>
    <w:rsid w:val="007A3359"/>
    <w:rsid w:val="007A5336"/>
    <w:rsid w:val="007A5ACF"/>
    <w:rsid w:val="007A754E"/>
    <w:rsid w:val="007A7AEC"/>
    <w:rsid w:val="007B21B6"/>
    <w:rsid w:val="007B3DC2"/>
    <w:rsid w:val="007B4F47"/>
    <w:rsid w:val="007B5CE4"/>
    <w:rsid w:val="007B6915"/>
    <w:rsid w:val="007C107C"/>
    <w:rsid w:val="007C2BD5"/>
    <w:rsid w:val="007C30E8"/>
    <w:rsid w:val="007C52B5"/>
    <w:rsid w:val="007C55B4"/>
    <w:rsid w:val="007D590A"/>
    <w:rsid w:val="007D5B73"/>
    <w:rsid w:val="007D6BD4"/>
    <w:rsid w:val="007E5A23"/>
    <w:rsid w:val="007E5ED3"/>
    <w:rsid w:val="007F4BE2"/>
    <w:rsid w:val="007F5765"/>
    <w:rsid w:val="00804809"/>
    <w:rsid w:val="00805ED2"/>
    <w:rsid w:val="008070D8"/>
    <w:rsid w:val="008153E7"/>
    <w:rsid w:val="00816698"/>
    <w:rsid w:val="0081766D"/>
    <w:rsid w:val="008224AA"/>
    <w:rsid w:val="00823FB8"/>
    <w:rsid w:val="00825C31"/>
    <w:rsid w:val="0082627B"/>
    <w:rsid w:val="008271AB"/>
    <w:rsid w:val="008314BF"/>
    <w:rsid w:val="008318C6"/>
    <w:rsid w:val="00832C0B"/>
    <w:rsid w:val="0084187B"/>
    <w:rsid w:val="00846B86"/>
    <w:rsid w:val="00854B0A"/>
    <w:rsid w:val="00856BCD"/>
    <w:rsid w:val="00856D15"/>
    <w:rsid w:val="00860BC4"/>
    <w:rsid w:val="0086187B"/>
    <w:rsid w:val="008624A5"/>
    <w:rsid w:val="008629CC"/>
    <w:rsid w:val="008658FC"/>
    <w:rsid w:val="00871A5E"/>
    <w:rsid w:val="00871EF0"/>
    <w:rsid w:val="00876433"/>
    <w:rsid w:val="00877FBE"/>
    <w:rsid w:val="00880788"/>
    <w:rsid w:val="0088277B"/>
    <w:rsid w:val="00884326"/>
    <w:rsid w:val="00885189"/>
    <w:rsid w:val="00893438"/>
    <w:rsid w:val="008A1D17"/>
    <w:rsid w:val="008A1F9F"/>
    <w:rsid w:val="008A2023"/>
    <w:rsid w:val="008A3046"/>
    <w:rsid w:val="008A66F3"/>
    <w:rsid w:val="008A739F"/>
    <w:rsid w:val="008B09A6"/>
    <w:rsid w:val="008B1738"/>
    <w:rsid w:val="008B3763"/>
    <w:rsid w:val="008B74F3"/>
    <w:rsid w:val="008C001B"/>
    <w:rsid w:val="008C031A"/>
    <w:rsid w:val="008C5524"/>
    <w:rsid w:val="008D2316"/>
    <w:rsid w:val="008D2B3B"/>
    <w:rsid w:val="008D36E0"/>
    <w:rsid w:val="008E0BDC"/>
    <w:rsid w:val="008F23FA"/>
    <w:rsid w:val="008F5777"/>
    <w:rsid w:val="008F62DB"/>
    <w:rsid w:val="009006FB"/>
    <w:rsid w:val="00900A48"/>
    <w:rsid w:val="00901D8C"/>
    <w:rsid w:val="00902BED"/>
    <w:rsid w:val="00903350"/>
    <w:rsid w:val="0090456C"/>
    <w:rsid w:val="00905872"/>
    <w:rsid w:val="00907028"/>
    <w:rsid w:val="00912E30"/>
    <w:rsid w:val="009137A8"/>
    <w:rsid w:val="0093121D"/>
    <w:rsid w:val="00932780"/>
    <w:rsid w:val="00932854"/>
    <w:rsid w:val="00932933"/>
    <w:rsid w:val="00936D90"/>
    <w:rsid w:val="009373A5"/>
    <w:rsid w:val="00944F98"/>
    <w:rsid w:val="00945158"/>
    <w:rsid w:val="00951491"/>
    <w:rsid w:val="0095177B"/>
    <w:rsid w:val="00951C0D"/>
    <w:rsid w:val="0095223B"/>
    <w:rsid w:val="00956DCC"/>
    <w:rsid w:val="00956F0B"/>
    <w:rsid w:val="009615BE"/>
    <w:rsid w:val="00962EEB"/>
    <w:rsid w:val="00967FBE"/>
    <w:rsid w:val="00967FCF"/>
    <w:rsid w:val="00974FB9"/>
    <w:rsid w:val="00977F80"/>
    <w:rsid w:val="0098086B"/>
    <w:rsid w:val="009818BE"/>
    <w:rsid w:val="00981C35"/>
    <w:rsid w:val="009835CC"/>
    <w:rsid w:val="00984D39"/>
    <w:rsid w:val="00990D50"/>
    <w:rsid w:val="00991A0A"/>
    <w:rsid w:val="009969DD"/>
    <w:rsid w:val="009A1FA4"/>
    <w:rsid w:val="009A77FB"/>
    <w:rsid w:val="009A7895"/>
    <w:rsid w:val="009B03CC"/>
    <w:rsid w:val="009B0413"/>
    <w:rsid w:val="009B31F8"/>
    <w:rsid w:val="009B4FAE"/>
    <w:rsid w:val="009C6296"/>
    <w:rsid w:val="009D0658"/>
    <w:rsid w:val="009D6CC7"/>
    <w:rsid w:val="009D7952"/>
    <w:rsid w:val="009E0558"/>
    <w:rsid w:val="009E1CD9"/>
    <w:rsid w:val="009E2054"/>
    <w:rsid w:val="009F134B"/>
    <w:rsid w:val="009F4359"/>
    <w:rsid w:val="009F7F84"/>
    <w:rsid w:val="00A01425"/>
    <w:rsid w:val="00A01B53"/>
    <w:rsid w:val="00A03DF3"/>
    <w:rsid w:val="00A11CBC"/>
    <w:rsid w:val="00A13DE4"/>
    <w:rsid w:val="00A21148"/>
    <w:rsid w:val="00A249AB"/>
    <w:rsid w:val="00A270D1"/>
    <w:rsid w:val="00A31B98"/>
    <w:rsid w:val="00A34F28"/>
    <w:rsid w:val="00A36815"/>
    <w:rsid w:val="00A41167"/>
    <w:rsid w:val="00A47435"/>
    <w:rsid w:val="00A51637"/>
    <w:rsid w:val="00A54D08"/>
    <w:rsid w:val="00A5517B"/>
    <w:rsid w:val="00A644B6"/>
    <w:rsid w:val="00A70F3A"/>
    <w:rsid w:val="00A7411C"/>
    <w:rsid w:val="00A74F9D"/>
    <w:rsid w:val="00A7684A"/>
    <w:rsid w:val="00A76BB0"/>
    <w:rsid w:val="00A76ED3"/>
    <w:rsid w:val="00A77E97"/>
    <w:rsid w:val="00A819D0"/>
    <w:rsid w:val="00A906E8"/>
    <w:rsid w:val="00AA02B4"/>
    <w:rsid w:val="00AA03A2"/>
    <w:rsid w:val="00AA0D92"/>
    <w:rsid w:val="00AA50C6"/>
    <w:rsid w:val="00AB10BA"/>
    <w:rsid w:val="00AC161C"/>
    <w:rsid w:val="00AC3624"/>
    <w:rsid w:val="00AC5CFD"/>
    <w:rsid w:val="00AC7B2D"/>
    <w:rsid w:val="00AD01E9"/>
    <w:rsid w:val="00AD207A"/>
    <w:rsid w:val="00AD2B6F"/>
    <w:rsid w:val="00AD5E26"/>
    <w:rsid w:val="00AD7871"/>
    <w:rsid w:val="00AE1782"/>
    <w:rsid w:val="00AE3CD9"/>
    <w:rsid w:val="00AE444B"/>
    <w:rsid w:val="00AF1C8A"/>
    <w:rsid w:val="00AF266E"/>
    <w:rsid w:val="00B000E1"/>
    <w:rsid w:val="00B00224"/>
    <w:rsid w:val="00B0571E"/>
    <w:rsid w:val="00B05816"/>
    <w:rsid w:val="00B0605D"/>
    <w:rsid w:val="00B0628D"/>
    <w:rsid w:val="00B11D08"/>
    <w:rsid w:val="00B12CA6"/>
    <w:rsid w:val="00B13501"/>
    <w:rsid w:val="00B13918"/>
    <w:rsid w:val="00B16E45"/>
    <w:rsid w:val="00B204C4"/>
    <w:rsid w:val="00B23706"/>
    <w:rsid w:val="00B23C72"/>
    <w:rsid w:val="00B2487F"/>
    <w:rsid w:val="00B25047"/>
    <w:rsid w:val="00B25370"/>
    <w:rsid w:val="00B2569B"/>
    <w:rsid w:val="00B27701"/>
    <w:rsid w:val="00B32151"/>
    <w:rsid w:val="00B361EB"/>
    <w:rsid w:val="00B406F8"/>
    <w:rsid w:val="00B40D8A"/>
    <w:rsid w:val="00B504E2"/>
    <w:rsid w:val="00B538BF"/>
    <w:rsid w:val="00B54C08"/>
    <w:rsid w:val="00B54DF7"/>
    <w:rsid w:val="00B55DE7"/>
    <w:rsid w:val="00B57AA0"/>
    <w:rsid w:val="00B62191"/>
    <w:rsid w:val="00B623C7"/>
    <w:rsid w:val="00B63405"/>
    <w:rsid w:val="00B64954"/>
    <w:rsid w:val="00B716ED"/>
    <w:rsid w:val="00B73398"/>
    <w:rsid w:val="00B734C3"/>
    <w:rsid w:val="00B75052"/>
    <w:rsid w:val="00B76799"/>
    <w:rsid w:val="00B80B75"/>
    <w:rsid w:val="00B80EC5"/>
    <w:rsid w:val="00B83C10"/>
    <w:rsid w:val="00B841E4"/>
    <w:rsid w:val="00B863A3"/>
    <w:rsid w:val="00B934CA"/>
    <w:rsid w:val="00B96D01"/>
    <w:rsid w:val="00B97431"/>
    <w:rsid w:val="00BA52CF"/>
    <w:rsid w:val="00BB2F47"/>
    <w:rsid w:val="00BB4643"/>
    <w:rsid w:val="00BB4DE0"/>
    <w:rsid w:val="00BB5D35"/>
    <w:rsid w:val="00BC0D48"/>
    <w:rsid w:val="00BC1CEC"/>
    <w:rsid w:val="00BC2857"/>
    <w:rsid w:val="00BC7438"/>
    <w:rsid w:val="00BD01D1"/>
    <w:rsid w:val="00BD0547"/>
    <w:rsid w:val="00BD1806"/>
    <w:rsid w:val="00BD40FE"/>
    <w:rsid w:val="00BE5728"/>
    <w:rsid w:val="00BF4312"/>
    <w:rsid w:val="00C0305D"/>
    <w:rsid w:val="00C0400A"/>
    <w:rsid w:val="00C10902"/>
    <w:rsid w:val="00C10C4C"/>
    <w:rsid w:val="00C116F9"/>
    <w:rsid w:val="00C11A8E"/>
    <w:rsid w:val="00C126D4"/>
    <w:rsid w:val="00C16267"/>
    <w:rsid w:val="00C178C1"/>
    <w:rsid w:val="00C23786"/>
    <w:rsid w:val="00C26F83"/>
    <w:rsid w:val="00C305CF"/>
    <w:rsid w:val="00C40726"/>
    <w:rsid w:val="00C469C6"/>
    <w:rsid w:val="00C535D2"/>
    <w:rsid w:val="00C5429E"/>
    <w:rsid w:val="00C624E0"/>
    <w:rsid w:val="00C71961"/>
    <w:rsid w:val="00C7270C"/>
    <w:rsid w:val="00C73422"/>
    <w:rsid w:val="00C74BBC"/>
    <w:rsid w:val="00C825B1"/>
    <w:rsid w:val="00C8281B"/>
    <w:rsid w:val="00C91918"/>
    <w:rsid w:val="00C924E1"/>
    <w:rsid w:val="00C95587"/>
    <w:rsid w:val="00CA0CD5"/>
    <w:rsid w:val="00CA3962"/>
    <w:rsid w:val="00CA5F20"/>
    <w:rsid w:val="00CB12FF"/>
    <w:rsid w:val="00CB1559"/>
    <w:rsid w:val="00CB5023"/>
    <w:rsid w:val="00CB717B"/>
    <w:rsid w:val="00CC4DFB"/>
    <w:rsid w:val="00CC4F79"/>
    <w:rsid w:val="00CC53D2"/>
    <w:rsid w:val="00CC5ED3"/>
    <w:rsid w:val="00CD208A"/>
    <w:rsid w:val="00CD3310"/>
    <w:rsid w:val="00CD7D20"/>
    <w:rsid w:val="00CE04B6"/>
    <w:rsid w:val="00CE44E5"/>
    <w:rsid w:val="00CE56BF"/>
    <w:rsid w:val="00CE7294"/>
    <w:rsid w:val="00CF38C9"/>
    <w:rsid w:val="00CF61AA"/>
    <w:rsid w:val="00CF6F31"/>
    <w:rsid w:val="00D00F4E"/>
    <w:rsid w:val="00D04806"/>
    <w:rsid w:val="00D05118"/>
    <w:rsid w:val="00D138C1"/>
    <w:rsid w:val="00D13EDB"/>
    <w:rsid w:val="00D1498A"/>
    <w:rsid w:val="00D25077"/>
    <w:rsid w:val="00D260A6"/>
    <w:rsid w:val="00D31F01"/>
    <w:rsid w:val="00D337CD"/>
    <w:rsid w:val="00D35FBE"/>
    <w:rsid w:val="00D41827"/>
    <w:rsid w:val="00D4280F"/>
    <w:rsid w:val="00D46387"/>
    <w:rsid w:val="00D478F8"/>
    <w:rsid w:val="00D50443"/>
    <w:rsid w:val="00D54E32"/>
    <w:rsid w:val="00D62432"/>
    <w:rsid w:val="00D63465"/>
    <w:rsid w:val="00D636A2"/>
    <w:rsid w:val="00D6387C"/>
    <w:rsid w:val="00D654B0"/>
    <w:rsid w:val="00D66678"/>
    <w:rsid w:val="00D675AC"/>
    <w:rsid w:val="00D7141B"/>
    <w:rsid w:val="00D7219B"/>
    <w:rsid w:val="00D73C4A"/>
    <w:rsid w:val="00D74FD4"/>
    <w:rsid w:val="00D779FE"/>
    <w:rsid w:val="00D80D32"/>
    <w:rsid w:val="00D81FB7"/>
    <w:rsid w:val="00D851A1"/>
    <w:rsid w:val="00D86698"/>
    <w:rsid w:val="00D86E5B"/>
    <w:rsid w:val="00D87460"/>
    <w:rsid w:val="00D87FA7"/>
    <w:rsid w:val="00D91354"/>
    <w:rsid w:val="00D93F05"/>
    <w:rsid w:val="00D94927"/>
    <w:rsid w:val="00D95019"/>
    <w:rsid w:val="00D95E4C"/>
    <w:rsid w:val="00D978F6"/>
    <w:rsid w:val="00DA36DE"/>
    <w:rsid w:val="00DA5E61"/>
    <w:rsid w:val="00DA6651"/>
    <w:rsid w:val="00DB5E56"/>
    <w:rsid w:val="00DC07AE"/>
    <w:rsid w:val="00DC2BA3"/>
    <w:rsid w:val="00DC4AD4"/>
    <w:rsid w:val="00DD1DB5"/>
    <w:rsid w:val="00DD59A4"/>
    <w:rsid w:val="00DD5DCA"/>
    <w:rsid w:val="00DD639D"/>
    <w:rsid w:val="00DE0657"/>
    <w:rsid w:val="00DE07F3"/>
    <w:rsid w:val="00DE3B60"/>
    <w:rsid w:val="00DE448B"/>
    <w:rsid w:val="00DE44B9"/>
    <w:rsid w:val="00DF3D2C"/>
    <w:rsid w:val="00DF511D"/>
    <w:rsid w:val="00DF5574"/>
    <w:rsid w:val="00DF7A11"/>
    <w:rsid w:val="00E00C51"/>
    <w:rsid w:val="00E074CF"/>
    <w:rsid w:val="00E07592"/>
    <w:rsid w:val="00E07D58"/>
    <w:rsid w:val="00E12DC6"/>
    <w:rsid w:val="00E136CC"/>
    <w:rsid w:val="00E17E9C"/>
    <w:rsid w:val="00E263A1"/>
    <w:rsid w:val="00E3254C"/>
    <w:rsid w:val="00E35866"/>
    <w:rsid w:val="00E36035"/>
    <w:rsid w:val="00E379DA"/>
    <w:rsid w:val="00E42991"/>
    <w:rsid w:val="00E4316E"/>
    <w:rsid w:val="00E43291"/>
    <w:rsid w:val="00E45236"/>
    <w:rsid w:val="00E46300"/>
    <w:rsid w:val="00E51B0E"/>
    <w:rsid w:val="00E529E6"/>
    <w:rsid w:val="00E53183"/>
    <w:rsid w:val="00E53A04"/>
    <w:rsid w:val="00E604AC"/>
    <w:rsid w:val="00E60C64"/>
    <w:rsid w:val="00E6476E"/>
    <w:rsid w:val="00E648C6"/>
    <w:rsid w:val="00E66142"/>
    <w:rsid w:val="00E719A4"/>
    <w:rsid w:val="00E736F2"/>
    <w:rsid w:val="00E7695C"/>
    <w:rsid w:val="00E801BF"/>
    <w:rsid w:val="00E82EAF"/>
    <w:rsid w:val="00E84255"/>
    <w:rsid w:val="00E84435"/>
    <w:rsid w:val="00E856A0"/>
    <w:rsid w:val="00E946E8"/>
    <w:rsid w:val="00E94C13"/>
    <w:rsid w:val="00EA1885"/>
    <w:rsid w:val="00EA6A0D"/>
    <w:rsid w:val="00EA6E50"/>
    <w:rsid w:val="00EA7E46"/>
    <w:rsid w:val="00EB0346"/>
    <w:rsid w:val="00EB13C0"/>
    <w:rsid w:val="00EB37A2"/>
    <w:rsid w:val="00EB436F"/>
    <w:rsid w:val="00EB6131"/>
    <w:rsid w:val="00EB62A4"/>
    <w:rsid w:val="00EB7A55"/>
    <w:rsid w:val="00EC30C2"/>
    <w:rsid w:val="00EC36C5"/>
    <w:rsid w:val="00EC3A3E"/>
    <w:rsid w:val="00EC5686"/>
    <w:rsid w:val="00ED104E"/>
    <w:rsid w:val="00ED1971"/>
    <w:rsid w:val="00ED38A9"/>
    <w:rsid w:val="00ED3B47"/>
    <w:rsid w:val="00ED6913"/>
    <w:rsid w:val="00ED6E8C"/>
    <w:rsid w:val="00EE012D"/>
    <w:rsid w:val="00EE18ED"/>
    <w:rsid w:val="00EE3277"/>
    <w:rsid w:val="00EE7640"/>
    <w:rsid w:val="00EF3756"/>
    <w:rsid w:val="00EF56AF"/>
    <w:rsid w:val="00F03CEA"/>
    <w:rsid w:val="00F059A5"/>
    <w:rsid w:val="00F05CFE"/>
    <w:rsid w:val="00F10393"/>
    <w:rsid w:val="00F17281"/>
    <w:rsid w:val="00F207E8"/>
    <w:rsid w:val="00F229DF"/>
    <w:rsid w:val="00F23979"/>
    <w:rsid w:val="00F279BE"/>
    <w:rsid w:val="00F3212C"/>
    <w:rsid w:val="00F42C68"/>
    <w:rsid w:val="00F44727"/>
    <w:rsid w:val="00F46579"/>
    <w:rsid w:val="00F500C9"/>
    <w:rsid w:val="00F50E22"/>
    <w:rsid w:val="00F52337"/>
    <w:rsid w:val="00F53628"/>
    <w:rsid w:val="00F549DC"/>
    <w:rsid w:val="00F64E54"/>
    <w:rsid w:val="00F71DCB"/>
    <w:rsid w:val="00F73D89"/>
    <w:rsid w:val="00F8278E"/>
    <w:rsid w:val="00F91CF4"/>
    <w:rsid w:val="00F953B3"/>
    <w:rsid w:val="00F957D8"/>
    <w:rsid w:val="00F96BB0"/>
    <w:rsid w:val="00F97234"/>
    <w:rsid w:val="00FA03B0"/>
    <w:rsid w:val="00FA2778"/>
    <w:rsid w:val="00FA2998"/>
    <w:rsid w:val="00FB055B"/>
    <w:rsid w:val="00FB260F"/>
    <w:rsid w:val="00FB36DB"/>
    <w:rsid w:val="00FB4AC9"/>
    <w:rsid w:val="00FC0D2C"/>
    <w:rsid w:val="00FC329C"/>
    <w:rsid w:val="00FC64B1"/>
    <w:rsid w:val="00FD0EBC"/>
    <w:rsid w:val="00FD19C8"/>
    <w:rsid w:val="00FD4FDE"/>
    <w:rsid w:val="00FD65D4"/>
    <w:rsid w:val="00FD6CA1"/>
    <w:rsid w:val="00FD6F81"/>
    <w:rsid w:val="00FD79E5"/>
    <w:rsid w:val="00FD7F03"/>
    <w:rsid w:val="00FE0E03"/>
    <w:rsid w:val="00FE2DCC"/>
    <w:rsid w:val="00FE4888"/>
    <w:rsid w:val="00FE59D0"/>
    <w:rsid w:val="00FF28BE"/>
    <w:rsid w:val="00FF6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BDA242"/>
  <w15:chartTrackingRefBased/>
  <w15:docId w15:val="{792C42A1-9CB7-4FF8-AEF4-157642BD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443"/>
    <w:rPr>
      <w:rFonts w:ascii="Georgia" w:eastAsia="Georgia" w:hAnsi="Georgia" w:cs="Georgia"/>
      <w:sz w:val="24"/>
      <w:szCs w:val="24"/>
      <w:lang w:eastAsia="ja-JP"/>
    </w:rPr>
  </w:style>
  <w:style w:type="paragraph" w:styleId="Heading1">
    <w:name w:val="heading 1"/>
    <w:basedOn w:val="Normal"/>
    <w:next w:val="Body1"/>
    <w:qFormat/>
    <w:rsid w:val="00CE44E5"/>
    <w:pPr>
      <w:keepNext/>
      <w:spacing w:before="240" w:after="60"/>
      <w:jc w:val="center"/>
      <w:outlineLvl w:val="0"/>
    </w:pPr>
    <w:rPr>
      <w:rFonts w:cs="Arial"/>
      <w:b/>
      <w:bCs/>
      <w:kern w:val="32"/>
      <w:sz w:val="32"/>
      <w:szCs w:val="32"/>
    </w:rPr>
  </w:style>
  <w:style w:type="paragraph" w:styleId="Heading2">
    <w:name w:val="heading 2"/>
    <w:basedOn w:val="Normal"/>
    <w:next w:val="Body2"/>
    <w:qFormat/>
    <w:rsid w:val="00612F0D"/>
    <w:pPr>
      <w:keepNext/>
      <w:spacing w:before="240" w:after="60"/>
      <w:ind w:left="284"/>
      <w:outlineLvl w:val="1"/>
    </w:pPr>
    <w:rPr>
      <w:rFonts w:cs="Arial"/>
      <w:b/>
      <w:bCs/>
      <w:iCs/>
      <w:sz w:val="28"/>
      <w:szCs w:val="28"/>
    </w:rPr>
  </w:style>
  <w:style w:type="paragraph" w:styleId="Heading3">
    <w:name w:val="heading 3"/>
    <w:basedOn w:val="Normal"/>
    <w:next w:val="Body3"/>
    <w:qFormat/>
    <w:rsid w:val="00612F0D"/>
    <w:pPr>
      <w:keepNext/>
      <w:spacing w:before="240" w:after="60"/>
      <w:ind w:left="709"/>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2F0D"/>
    <w:rPr>
      <w:rFonts w:ascii="Tahoma" w:hAnsi="Tahoma" w:cs="Tahoma"/>
      <w:sz w:val="16"/>
      <w:szCs w:val="16"/>
    </w:rPr>
  </w:style>
  <w:style w:type="paragraph" w:customStyle="1" w:styleId="Body1">
    <w:name w:val="Body 1"/>
    <w:basedOn w:val="Normal"/>
    <w:rsid w:val="00612F0D"/>
    <w:pPr>
      <w:ind w:left="284"/>
    </w:pPr>
  </w:style>
  <w:style w:type="paragraph" w:customStyle="1" w:styleId="Body2">
    <w:name w:val="Body 2"/>
    <w:basedOn w:val="Normal"/>
    <w:rsid w:val="00612F0D"/>
    <w:pPr>
      <w:ind w:left="567"/>
    </w:pPr>
  </w:style>
  <w:style w:type="paragraph" w:customStyle="1" w:styleId="Body3">
    <w:name w:val="Body 3"/>
    <w:basedOn w:val="Normal"/>
    <w:rsid w:val="00612F0D"/>
    <w:pPr>
      <w:ind w:left="992"/>
    </w:pPr>
  </w:style>
  <w:style w:type="paragraph" w:styleId="Footer">
    <w:name w:val="footer"/>
    <w:basedOn w:val="Normal"/>
    <w:rsid w:val="00B11D08"/>
    <w:pPr>
      <w:tabs>
        <w:tab w:val="center" w:pos="4153"/>
        <w:tab w:val="right" w:pos="8306"/>
      </w:tabs>
    </w:pPr>
    <w:rPr>
      <w:sz w:val="19"/>
    </w:rPr>
  </w:style>
  <w:style w:type="paragraph" w:styleId="Header">
    <w:name w:val="header"/>
    <w:basedOn w:val="Normal"/>
    <w:rsid w:val="00612F0D"/>
    <w:pPr>
      <w:tabs>
        <w:tab w:val="center" w:pos="4153"/>
        <w:tab w:val="right" w:pos="8306"/>
      </w:tabs>
    </w:pPr>
  </w:style>
  <w:style w:type="character" w:styleId="Hyperlink">
    <w:name w:val="Hyperlink"/>
    <w:basedOn w:val="DefaultParagraphFont"/>
    <w:uiPriority w:val="99"/>
    <w:rsid w:val="00612F0D"/>
    <w:rPr>
      <w:color w:val="0000FF"/>
      <w:u w:val="single"/>
    </w:rPr>
  </w:style>
  <w:style w:type="character" w:styleId="PageNumber">
    <w:name w:val="page number"/>
    <w:basedOn w:val="DefaultParagraphFont"/>
    <w:rsid w:val="00612F0D"/>
  </w:style>
  <w:style w:type="table" w:styleId="TableGrid">
    <w:name w:val="Table Grid"/>
    <w:basedOn w:val="TableNormal"/>
    <w:rsid w:val="00612F0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12F0D"/>
    <w:pPr>
      <w:spacing w:before="120"/>
    </w:pPr>
    <w:rPr>
      <w:rFonts w:asciiTheme="minorHAnsi" w:hAnsiTheme="minorHAnsi" w:cstheme="minorHAnsi"/>
      <w:b/>
      <w:bCs/>
      <w:i/>
      <w:iCs/>
    </w:rPr>
  </w:style>
  <w:style w:type="paragraph" w:styleId="TOC2">
    <w:name w:val="toc 2"/>
    <w:basedOn w:val="Normal"/>
    <w:next w:val="Normal"/>
    <w:autoRedefine/>
    <w:uiPriority w:val="39"/>
    <w:rsid w:val="00612F0D"/>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612F0D"/>
    <w:pPr>
      <w:ind w:left="480"/>
    </w:pPr>
    <w:rPr>
      <w:rFonts w:asciiTheme="minorHAnsi" w:hAnsiTheme="minorHAnsi" w:cstheme="minorHAnsi"/>
      <w:sz w:val="20"/>
      <w:szCs w:val="20"/>
    </w:rPr>
  </w:style>
  <w:style w:type="paragraph" w:styleId="Date">
    <w:name w:val="Date"/>
    <w:basedOn w:val="Normal"/>
    <w:next w:val="Normal"/>
    <w:rsid w:val="00597049"/>
  </w:style>
  <w:style w:type="paragraph" w:styleId="DocumentMap">
    <w:name w:val="Document Map"/>
    <w:basedOn w:val="Normal"/>
    <w:semiHidden/>
    <w:rsid w:val="0020314D"/>
    <w:pPr>
      <w:shd w:val="clear" w:color="auto" w:fill="000080"/>
    </w:pPr>
    <w:rPr>
      <w:rFonts w:ascii="Tahoma" w:hAnsi="Tahoma" w:cs="Tahoma"/>
      <w:sz w:val="20"/>
      <w:szCs w:val="20"/>
    </w:rPr>
  </w:style>
  <w:style w:type="paragraph" w:styleId="ListParagraph">
    <w:name w:val="List Paragraph"/>
    <w:basedOn w:val="Normal"/>
    <w:uiPriority w:val="34"/>
    <w:qFormat/>
    <w:rsid w:val="003D6586"/>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rsid w:val="00B27701"/>
    <w:rPr>
      <w:sz w:val="20"/>
      <w:szCs w:val="20"/>
    </w:rPr>
  </w:style>
  <w:style w:type="character" w:customStyle="1" w:styleId="FootnoteTextChar">
    <w:name w:val="Footnote Text Char"/>
    <w:basedOn w:val="DefaultParagraphFont"/>
    <w:link w:val="FootnoteText"/>
    <w:rsid w:val="00B27701"/>
    <w:rPr>
      <w:rFonts w:ascii="Georgia" w:eastAsia="Georgia" w:hAnsi="Georgia" w:cs="Georgia"/>
      <w:lang w:eastAsia="ja-JP"/>
    </w:rPr>
  </w:style>
  <w:style w:type="character" w:styleId="FootnoteReference">
    <w:name w:val="footnote reference"/>
    <w:basedOn w:val="DefaultParagraphFont"/>
    <w:rsid w:val="00B27701"/>
    <w:rPr>
      <w:vertAlign w:val="superscript"/>
    </w:rPr>
  </w:style>
  <w:style w:type="paragraph" w:styleId="TOCHeading">
    <w:name w:val="TOC Heading"/>
    <w:basedOn w:val="Heading1"/>
    <w:next w:val="Normal"/>
    <w:uiPriority w:val="39"/>
    <w:unhideWhenUsed/>
    <w:qFormat/>
    <w:rsid w:val="00A41167"/>
    <w:pPr>
      <w:keepLines/>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4">
    <w:name w:val="toc 4"/>
    <w:basedOn w:val="Normal"/>
    <w:next w:val="Normal"/>
    <w:autoRedefine/>
    <w:rsid w:val="00A41167"/>
    <w:pPr>
      <w:ind w:left="720"/>
    </w:pPr>
    <w:rPr>
      <w:rFonts w:asciiTheme="minorHAnsi" w:hAnsiTheme="minorHAnsi" w:cstheme="minorHAnsi"/>
      <w:sz w:val="20"/>
      <w:szCs w:val="20"/>
    </w:rPr>
  </w:style>
  <w:style w:type="paragraph" w:styleId="TOC5">
    <w:name w:val="toc 5"/>
    <w:basedOn w:val="Normal"/>
    <w:next w:val="Normal"/>
    <w:autoRedefine/>
    <w:rsid w:val="00A41167"/>
    <w:pPr>
      <w:ind w:left="960"/>
    </w:pPr>
    <w:rPr>
      <w:rFonts w:asciiTheme="minorHAnsi" w:hAnsiTheme="minorHAnsi" w:cstheme="minorHAnsi"/>
      <w:sz w:val="20"/>
      <w:szCs w:val="20"/>
    </w:rPr>
  </w:style>
  <w:style w:type="paragraph" w:styleId="TOC6">
    <w:name w:val="toc 6"/>
    <w:basedOn w:val="Normal"/>
    <w:next w:val="Normal"/>
    <w:autoRedefine/>
    <w:rsid w:val="00A41167"/>
    <w:pPr>
      <w:ind w:left="1200"/>
    </w:pPr>
    <w:rPr>
      <w:rFonts w:asciiTheme="minorHAnsi" w:hAnsiTheme="minorHAnsi" w:cstheme="minorHAnsi"/>
      <w:sz w:val="20"/>
      <w:szCs w:val="20"/>
    </w:rPr>
  </w:style>
  <w:style w:type="paragraph" w:styleId="TOC7">
    <w:name w:val="toc 7"/>
    <w:basedOn w:val="Normal"/>
    <w:next w:val="Normal"/>
    <w:autoRedefine/>
    <w:rsid w:val="00A41167"/>
    <w:pPr>
      <w:ind w:left="1440"/>
    </w:pPr>
    <w:rPr>
      <w:rFonts w:asciiTheme="minorHAnsi" w:hAnsiTheme="minorHAnsi" w:cstheme="minorHAnsi"/>
      <w:sz w:val="20"/>
      <w:szCs w:val="20"/>
    </w:rPr>
  </w:style>
  <w:style w:type="paragraph" w:styleId="TOC8">
    <w:name w:val="toc 8"/>
    <w:basedOn w:val="Normal"/>
    <w:next w:val="Normal"/>
    <w:autoRedefine/>
    <w:rsid w:val="00A41167"/>
    <w:pPr>
      <w:ind w:left="1680"/>
    </w:pPr>
    <w:rPr>
      <w:rFonts w:asciiTheme="minorHAnsi" w:hAnsiTheme="minorHAnsi" w:cstheme="minorHAnsi"/>
      <w:sz w:val="20"/>
      <w:szCs w:val="20"/>
    </w:rPr>
  </w:style>
  <w:style w:type="paragraph" w:styleId="TOC9">
    <w:name w:val="toc 9"/>
    <w:basedOn w:val="Normal"/>
    <w:next w:val="Normal"/>
    <w:autoRedefine/>
    <w:rsid w:val="00A41167"/>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0955">
      <w:bodyDiv w:val="1"/>
      <w:marLeft w:val="0"/>
      <w:marRight w:val="0"/>
      <w:marTop w:val="0"/>
      <w:marBottom w:val="0"/>
      <w:divBdr>
        <w:top w:val="none" w:sz="0" w:space="0" w:color="auto"/>
        <w:left w:val="none" w:sz="0" w:space="0" w:color="auto"/>
        <w:bottom w:val="none" w:sz="0" w:space="0" w:color="auto"/>
        <w:right w:val="none" w:sz="0" w:space="0" w:color="auto"/>
      </w:divBdr>
    </w:div>
    <w:div w:id="13356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eJudiciary\A%20Main%20Folder\A%20FORMS%20and%20STATIONARY\FORMS%20-%20Directions%20Template%202019%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C0FFE895601745B68A7B79BAF32582" ma:contentTypeVersion="15" ma:contentTypeDescription="Create a new document." ma:contentTypeScope="" ma:versionID="5cd1b8f9f86d5aba3b40ab203702f8fe">
  <xsd:schema xmlns:xsd="http://www.w3.org/2001/XMLSchema" xmlns:xs="http://www.w3.org/2001/XMLSchema" xmlns:p="http://schemas.microsoft.com/office/2006/metadata/properties" xmlns:ns1="http://schemas.microsoft.com/sharepoint/v3" xmlns:ns3="104b6f60-a6ff-4852-afa9-737b073442f1" xmlns:ns4="3330082c-e6ef-4077-9af7-4a861478fcc8" targetNamespace="http://schemas.microsoft.com/office/2006/metadata/properties" ma:root="true" ma:fieldsID="abb56f29adaef8a3059150934282b7b4" ns1:_="" ns3:_="" ns4:_="">
    <xsd:import namespace="http://schemas.microsoft.com/sharepoint/v3"/>
    <xsd:import namespace="104b6f60-a6ff-4852-afa9-737b073442f1"/>
    <xsd:import namespace="3330082c-e6ef-4077-9af7-4a861478fc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b6f60-a6ff-4852-afa9-737b07344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0082c-e6ef-4077-9af7-4a861478fc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EFD2-E478-4762-B50C-D392AF856B66}">
  <ds:schemaRefs>
    <ds:schemaRef ds:uri="http://schemas.microsoft.com/sharepoint/v3/contenttype/forms"/>
  </ds:schemaRefs>
</ds:datastoreItem>
</file>

<file path=customXml/itemProps2.xml><?xml version="1.0" encoding="utf-8"?>
<ds:datastoreItem xmlns:ds="http://schemas.openxmlformats.org/officeDocument/2006/customXml" ds:itemID="{D5C2E404-CF3A-41AF-B2CD-EA2ECE9A42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EBAA2B-64DE-4BE1-9C83-14253B1B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4b6f60-a6ff-4852-afa9-737b073442f1"/>
    <ds:schemaRef ds:uri="3330082c-e6ef-4077-9af7-4a861478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AC1F3-C2C7-4DBA-AF9F-DCFA862F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 Directions Template 2019 -2</Template>
  <TotalTime>517</TotalTime>
  <Pages>6</Pages>
  <Words>2656</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HHJ Edmunds QC</dc:creator>
  <cp:keywords/>
  <dc:description>Template created by Waken Ltd. February 2007.</dc:description>
  <cp:lastModifiedBy>HHJ Edmunds QC</cp:lastModifiedBy>
  <cp:revision>226</cp:revision>
  <cp:lastPrinted>2015-07-24T15:32:00Z</cp:lastPrinted>
  <dcterms:created xsi:type="dcterms:W3CDTF">2020-08-07T10:16:00Z</dcterms:created>
  <dcterms:modified xsi:type="dcterms:W3CDTF">2020-08-14T15:53:00Z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lsh">
    <vt:lpwstr>No</vt:lpwstr>
  </property>
  <property fmtid="{D5CDD505-2E9C-101B-9397-08002B2CF9AE}" pid="3" name="Royal Coat of Arms">
    <vt:lpwstr>Yes</vt:lpwstr>
  </property>
  <property fmtid="{D5CDD505-2E9C-101B-9397-08002B2CF9AE}" pid="4" name="Print Reqs">
    <vt:lpwstr/>
  </property>
  <property fmtid="{D5CDD505-2E9C-101B-9397-08002B2CF9AE}" pid="5" name="ContentTypeId">
    <vt:lpwstr>0x01010012C0FFE895601745B68A7B79BAF32582</vt:lpwstr>
  </property>
</Properties>
</file>