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5C8D0" w14:textId="77777777" w:rsidR="005932C2" w:rsidRPr="000F3C7E" w:rsidRDefault="005932C2" w:rsidP="005932C2">
      <w:pPr>
        <w:rPr>
          <w:b/>
          <w:sz w:val="24"/>
        </w:rPr>
      </w:pPr>
      <w:r w:rsidRPr="000F3C7E">
        <w:rPr>
          <w:b/>
          <w:sz w:val="24"/>
        </w:rPr>
        <w:t>Police station representative accreditation scheme</w:t>
      </w:r>
    </w:p>
    <w:p w14:paraId="6C85C347" w14:textId="77777777" w:rsidR="005932C2" w:rsidRDefault="005932C2" w:rsidP="005932C2">
      <w:pPr>
        <w:rPr>
          <w:b/>
          <w:sz w:val="24"/>
        </w:rPr>
      </w:pPr>
    </w:p>
    <w:p w14:paraId="62A17453" w14:textId="39E18ADD" w:rsidR="005932C2" w:rsidRDefault="00FB06A2" w:rsidP="005932C2">
      <w:pPr>
        <w:rPr>
          <w:b/>
          <w:sz w:val="24"/>
        </w:rPr>
      </w:pPr>
      <w:r>
        <w:rPr>
          <w:b/>
          <w:sz w:val="24"/>
        </w:rPr>
        <w:t xml:space="preserve">Part 3 </w:t>
      </w:r>
      <w:r w:rsidR="005932C2" w:rsidRPr="000F3C7E">
        <w:rPr>
          <w:b/>
          <w:sz w:val="24"/>
        </w:rPr>
        <w:t>Standards of performance</w:t>
      </w:r>
      <w:r w:rsidR="005932C2">
        <w:rPr>
          <w:b/>
          <w:sz w:val="24"/>
        </w:rPr>
        <w:t xml:space="preserve"> </w:t>
      </w:r>
    </w:p>
    <w:p w14:paraId="66F885F7" w14:textId="77777777" w:rsidR="005932C2" w:rsidRDefault="005932C2" w:rsidP="005932C2">
      <w:pPr>
        <w:rPr>
          <w:b/>
          <w:sz w:val="24"/>
        </w:rPr>
      </w:pPr>
    </w:p>
    <w:p w14:paraId="6738518F" w14:textId="0B716C03" w:rsidR="005932C2" w:rsidRPr="000F3C7E" w:rsidRDefault="005932C2" w:rsidP="005932C2">
      <w:pPr>
        <w:rPr>
          <w:b/>
          <w:sz w:val="24"/>
        </w:rPr>
      </w:pPr>
      <w:r>
        <w:rPr>
          <w:b/>
          <w:sz w:val="24"/>
        </w:rPr>
        <w:t xml:space="preserve"> Unit </w:t>
      </w:r>
      <w:r w:rsidR="00E65C9F">
        <w:rPr>
          <w:b/>
          <w:sz w:val="24"/>
        </w:rPr>
        <w:t>6</w:t>
      </w:r>
      <w:r>
        <w:rPr>
          <w:b/>
          <w:sz w:val="24"/>
        </w:rPr>
        <w:t xml:space="preserve"> </w:t>
      </w:r>
      <w:bookmarkStart w:id="0" w:name="_GoBack"/>
      <w:r w:rsidR="000F0038">
        <w:rPr>
          <w:b/>
          <w:sz w:val="24"/>
        </w:rPr>
        <w:t>Advising and assisting</w:t>
      </w:r>
      <w:r w:rsidR="009667A1">
        <w:rPr>
          <w:b/>
          <w:sz w:val="24"/>
        </w:rPr>
        <w:t xml:space="preserve"> during the interview</w:t>
      </w:r>
      <w:bookmarkEnd w:id="0"/>
    </w:p>
    <w:p w14:paraId="769DCC50" w14:textId="77777777" w:rsidR="005932C2" w:rsidRDefault="005932C2" w:rsidP="005932C2"/>
    <w:tbl>
      <w:tblPr>
        <w:tblStyle w:val="TableGrid"/>
        <w:tblW w:w="5000" w:type="pct"/>
        <w:tblLook w:val="04A0" w:firstRow="1" w:lastRow="0" w:firstColumn="1" w:lastColumn="0" w:noHBand="0" w:noVBand="1"/>
      </w:tblPr>
      <w:tblGrid>
        <w:gridCol w:w="4569"/>
        <w:gridCol w:w="4776"/>
        <w:gridCol w:w="4603"/>
      </w:tblGrid>
      <w:tr w:rsidR="005932C2" w:rsidRPr="008D2473" w14:paraId="33C1265F" w14:textId="77777777" w:rsidTr="00F13F1D">
        <w:tc>
          <w:tcPr>
            <w:tcW w:w="1638" w:type="pct"/>
            <w:shd w:val="clear" w:color="auto" w:fill="D9D9D9" w:themeFill="background1" w:themeFillShade="D9"/>
          </w:tcPr>
          <w:p w14:paraId="1EB41273" w14:textId="5AF395FD" w:rsidR="005932C2" w:rsidRPr="008D2473" w:rsidRDefault="00FB06A2" w:rsidP="00222338">
            <w:r w:rsidRPr="008D2473">
              <w:t xml:space="preserve">Assessment </w:t>
            </w:r>
            <w:r w:rsidR="005932C2" w:rsidRPr="008D2473">
              <w:t>outcomes</w:t>
            </w:r>
          </w:p>
          <w:p w14:paraId="7D348324" w14:textId="77777777" w:rsidR="005932C2" w:rsidRPr="008D2473" w:rsidRDefault="005932C2" w:rsidP="00222338"/>
          <w:p w14:paraId="6297F336" w14:textId="4B545D7F" w:rsidR="005932C2" w:rsidRPr="008D2473" w:rsidRDefault="005932C2" w:rsidP="00222338">
            <w:r w:rsidRPr="008D2473">
              <w:t xml:space="preserve">The </w:t>
            </w:r>
            <w:r w:rsidR="00FB06A2" w:rsidRPr="008D2473">
              <w:t>candidate</w:t>
            </w:r>
            <w:r w:rsidRPr="008D2473">
              <w:t xml:space="preserve"> will be able to:</w:t>
            </w:r>
          </w:p>
        </w:tc>
        <w:tc>
          <w:tcPr>
            <w:tcW w:w="1712" w:type="pct"/>
            <w:shd w:val="clear" w:color="auto" w:fill="D9D9D9" w:themeFill="background1" w:themeFillShade="D9"/>
          </w:tcPr>
          <w:p w14:paraId="7A5A57A0" w14:textId="77777777" w:rsidR="005932C2" w:rsidRPr="008D2473" w:rsidRDefault="005932C2" w:rsidP="00222338">
            <w:r w:rsidRPr="008D2473">
              <w:t>Assessment criteria</w:t>
            </w:r>
          </w:p>
          <w:p w14:paraId="76E07C60" w14:textId="77777777" w:rsidR="005932C2" w:rsidRPr="008D2473" w:rsidRDefault="005932C2" w:rsidP="00222338"/>
          <w:p w14:paraId="1D105468" w14:textId="35467852" w:rsidR="005932C2" w:rsidRPr="008D2473" w:rsidRDefault="005932C2" w:rsidP="00222338">
            <w:r w:rsidRPr="008D2473">
              <w:t xml:space="preserve">The </w:t>
            </w:r>
            <w:r w:rsidR="00FB06A2" w:rsidRPr="008D2473">
              <w:t>candidate</w:t>
            </w:r>
            <w:r w:rsidRPr="008D2473">
              <w:t xml:space="preserve"> can:</w:t>
            </w:r>
          </w:p>
        </w:tc>
        <w:tc>
          <w:tcPr>
            <w:tcW w:w="1650" w:type="pct"/>
            <w:shd w:val="clear" w:color="auto" w:fill="D9D9D9" w:themeFill="background1" w:themeFillShade="D9"/>
          </w:tcPr>
          <w:p w14:paraId="1682D20E" w14:textId="77777777" w:rsidR="005932C2" w:rsidRPr="008D2473" w:rsidRDefault="005932C2" w:rsidP="00222338">
            <w:r w:rsidRPr="008D2473">
              <w:t>Knowledge, understanding and skills</w:t>
            </w:r>
          </w:p>
        </w:tc>
      </w:tr>
      <w:tr w:rsidR="00F13F1D" w14:paraId="06ED9CE7" w14:textId="77777777" w:rsidTr="00F13F1D">
        <w:tc>
          <w:tcPr>
            <w:tcW w:w="1638" w:type="pct"/>
            <w:vMerge w:val="restart"/>
          </w:tcPr>
          <w:p w14:paraId="0F90DADF" w14:textId="21AA38D5" w:rsidR="00F13F1D" w:rsidRDefault="00F13F1D" w:rsidP="0001106F">
            <w:pPr>
              <w:pStyle w:val="ListParagraph"/>
              <w:numPr>
                <w:ilvl w:val="0"/>
                <w:numId w:val="16"/>
              </w:numPr>
            </w:pPr>
            <w:r>
              <w:t>Seek to ensure the proper conduct of the interview</w:t>
            </w:r>
          </w:p>
        </w:tc>
        <w:tc>
          <w:tcPr>
            <w:tcW w:w="1712" w:type="pct"/>
          </w:tcPr>
          <w:p w14:paraId="219D2D1F" w14:textId="6C721498" w:rsidR="00F13F1D" w:rsidRPr="000179AF" w:rsidRDefault="00F13F1D" w:rsidP="000179AF">
            <w:pPr>
              <w:pStyle w:val="ListParagraph"/>
              <w:numPr>
                <w:ilvl w:val="0"/>
                <w:numId w:val="17"/>
              </w:numPr>
              <w:rPr>
                <w:rFonts w:ascii="Arial" w:eastAsia="Arial" w:hAnsi="Arial" w:cs="Arial"/>
                <w:color w:val="000000"/>
              </w:rPr>
            </w:pPr>
            <w:r w:rsidRPr="000179AF">
              <w:rPr>
                <w:rFonts w:ascii="Arial" w:eastAsia="Arial" w:hAnsi="Arial" w:cs="Arial"/>
                <w:color w:val="000000"/>
              </w:rPr>
              <w:t xml:space="preserve">Make an appropriate opening statement </w:t>
            </w:r>
          </w:p>
        </w:tc>
        <w:tc>
          <w:tcPr>
            <w:tcW w:w="1650" w:type="pct"/>
          </w:tcPr>
          <w:p w14:paraId="409E5B99" w14:textId="77777777" w:rsidR="00F13F1D" w:rsidRDefault="00F13F1D"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nature and extent of an opening statement by the solicitor or representative will depend upon a range of factors, including:</w:t>
            </w:r>
          </w:p>
          <w:p w14:paraId="0D922477" w14:textId="77777777" w:rsidR="00F13F1D" w:rsidRDefault="00F13F1D" w:rsidP="00B61D82">
            <w:pPr>
              <w:pStyle w:val="ListParagraph"/>
              <w:numPr>
                <w:ilvl w:val="0"/>
                <w:numId w:val="8"/>
              </w:numPr>
              <w:tabs>
                <w:tab w:val="left" w:pos="317"/>
              </w:tabs>
              <w:spacing w:line="249" w:lineRule="exact"/>
              <w:textAlignment w:val="baseline"/>
              <w:rPr>
                <w:rFonts w:ascii="Arial" w:eastAsia="Arial" w:hAnsi="Arial" w:cs="Arial"/>
                <w:color w:val="000000"/>
              </w:rPr>
            </w:pPr>
            <w:r w:rsidRPr="00B61D82">
              <w:rPr>
                <w:rFonts w:ascii="Arial" w:eastAsia="Arial" w:hAnsi="Arial" w:cs="Arial"/>
                <w:color w:val="000000"/>
              </w:rPr>
              <w:t>whether the client has previously been interviewed in connection with the current matter, or on a previous occasion</w:t>
            </w:r>
          </w:p>
          <w:p w14:paraId="47D6A27E" w14:textId="77777777" w:rsidR="00F13F1D" w:rsidRDefault="00F13F1D" w:rsidP="00B61D82">
            <w:pPr>
              <w:pStyle w:val="ListParagraph"/>
              <w:numPr>
                <w:ilvl w:val="0"/>
                <w:numId w:val="8"/>
              </w:numPr>
              <w:tabs>
                <w:tab w:val="left" w:pos="317"/>
              </w:tabs>
              <w:spacing w:line="249" w:lineRule="exact"/>
              <w:textAlignment w:val="baseline"/>
              <w:rPr>
                <w:rFonts w:ascii="Arial" w:eastAsia="Arial" w:hAnsi="Arial" w:cs="Arial"/>
                <w:color w:val="000000"/>
              </w:rPr>
            </w:pPr>
            <w:r w:rsidRPr="00B61D82">
              <w:rPr>
                <w:rFonts w:ascii="Arial" w:eastAsia="Arial" w:hAnsi="Arial" w:cs="Arial"/>
                <w:color w:val="000000"/>
              </w:rPr>
              <w:t>whether the interviewing officer is known to t</w:t>
            </w:r>
            <w:r>
              <w:rPr>
                <w:rFonts w:ascii="Arial" w:eastAsia="Arial" w:hAnsi="Arial" w:cs="Arial"/>
                <w:color w:val="000000"/>
              </w:rPr>
              <w:t>he solicitor or representative</w:t>
            </w:r>
          </w:p>
          <w:p w14:paraId="6B881C43" w14:textId="77777777" w:rsidR="00F13F1D" w:rsidRDefault="00F13F1D" w:rsidP="00B61D82">
            <w:pPr>
              <w:pStyle w:val="ListParagraph"/>
              <w:numPr>
                <w:ilvl w:val="0"/>
                <w:numId w:val="8"/>
              </w:numPr>
              <w:tabs>
                <w:tab w:val="left" w:pos="317"/>
              </w:tabs>
              <w:spacing w:line="249" w:lineRule="exact"/>
              <w:textAlignment w:val="baseline"/>
              <w:rPr>
                <w:rFonts w:ascii="Arial" w:eastAsia="Arial" w:hAnsi="Arial" w:cs="Arial"/>
                <w:color w:val="000000"/>
              </w:rPr>
            </w:pPr>
            <w:r w:rsidRPr="00B61D82">
              <w:rPr>
                <w:rFonts w:ascii="Arial" w:eastAsia="Arial" w:hAnsi="Arial" w:cs="Arial"/>
                <w:color w:val="000000"/>
              </w:rPr>
              <w:t xml:space="preserve">whether an appropriate </w:t>
            </w:r>
            <w:r>
              <w:rPr>
                <w:rFonts w:ascii="Arial" w:eastAsia="Arial" w:hAnsi="Arial" w:cs="Arial"/>
                <w:color w:val="000000"/>
              </w:rPr>
              <w:t>adult or interpreter is present,</w:t>
            </w:r>
            <w:r w:rsidRPr="00B61D82">
              <w:rPr>
                <w:rFonts w:ascii="Arial" w:eastAsia="Arial" w:hAnsi="Arial" w:cs="Arial"/>
                <w:color w:val="000000"/>
              </w:rPr>
              <w:t xml:space="preserve"> and </w:t>
            </w:r>
          </w:p>
          <w:p w14:paraId="27872B82" w14:textId="77777777" w:rsidR="00F13F1D" w:rsidRDefault="00F13F1D" w:rsidP="00B61D82">
            <w:pPr>
              <w:pStyle w:val="ListParagraph"/>
              <w:numPr>
                <w:ilvl w:val="0"/>
                <w:numId w:val="8"/>
              </w:numPr>
              <w:tabs>
                <w:tab w:val="left" w:pos="317"/>
              </w:tabs>
              <w:spacing w:line="249" w:lineRule="exact"/>
              <w:textAlignment w:val="baseline"/>
              <w:rPr>
                <w:rFonts w:ascii="Arial" w:eastAsia="Arial" w:hAnsi="Arial" w:cs="Arial"/>
                <w:color w:val="000000"/>
              </w:rPr>
            </w:pPr>
            <w:r w:rsidRPr="00B61D82">
              <w:rPr>
                <w:rFonts w:ascii="Arial" w:eastAsia="Arial" w:hAnsi="Arial" w:cs="Arial"/>
                <w:color w:val="000000"/>
              </w:rPr>
              <w:t>whether the client has any vulnerability.</w:t>
            </w:r>
          </w:p>
          <w:p w14:paraId="079F2FAA" w14:textId="77777777" w:rsidR="00F13F1D" w:rsidRDefault="00F13F1D" w:rsidP="00B61D82">
            <w:pPr>
              <w:tabs>
                <w:tab w:val="left" w:pos="317"/>
              </w:tabs>
              <w:spacing w:line="249" w:lineRule="exact"/>
              <w:textAlignment w:val="baseline"/>
              <w:rPr>
                <w:rFonts w:ascii="Arial" w:eastAsia="Arial" w:hAnsi="Arial" w:cs="Arial"/>
                <w:color w:val="000000"/>
              </w:rPr>
            </w:pPr>
          </w:p>
          <w:p w14:paraId="5AA1379A" w14:textId="77777777" w:rsidR="00F13F1D" w:rsidRDefault="00F13F1D" w:rsidP="00B61D82">
            <w:pPr>
              <w:tabs>
                <w:tab w:val="left" w:pos="317"/>
              </w:tabs>
              <w:spacing w:line="249" w:lineRule="exact"/>
              <w:textAlignment w:val="baseline"/>
              <w:rPr>
                <w:rFonts w:ascii="Arial" w:eastAsia="Arial" w:hAnsi="Arial" w:cs="Arial"/>
                <w:color w:val="000000"/>
              </w:rPr>
            </w:pPr>
            <w:r>
              <w:rPr>
                <w:rFonts w:ascii="Arial" w:eastAsia="Arial" w:hAnsi="Arial" w:cs="Arial"/>
                <w:color w:val="000000"/>
              </w:rPr>
              <w:t>An opening statement may include some or all of the following:</w:t>
            </w:r>
          </w:p>
          <w:p w14:paraId="1A66BA49" w14:textId="32329E70" w:rsidR="00F13F1D" w:rsidRDefault="00F13F1D" w:rsidP="00B61D8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an explanation of the lawyer’s role</w:t>
            </w:r>
          </w:p>
          <w:p w14:paraId="5AF4EA41" w14:textId="1DC6F0B9" w:rsidR="00F13F1D" w:rsidRDefault="00F13F1D" w:rsidP="00B61D8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an indication of what information the police have given to the solicitor or representative in advance of the interview</w:t>
            </w:r>
          </w:p>
          <w:p w14:paraId="740DA7EB" w14:textId="4472DD15" w:rsidR="00F13F1D" w:rsidRDefault="00F13F1D" w:rsidP="00B61D8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an indication of what the police investigator has told the solicitor or representative as regards the purpose of the interview</w:t>
            </w:r>
          </w:p>
          <w:p w14:paraId="6E4EAEFF" w14:textId="77777777" w:rsidR="00F13F1D" w:rsidRDefault="00F13F1D" w:rsidP="00B61D8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whether the client intends to answer questions and/or whether a prepared statement is being submitted</w:t>
            </w:r>
          </w:p>
          <w:p w14:paraId="25D8BD94" w14:textId="4C422F24" w:rsidR="00F13F1D" w:rsidRPr="00B61D82" w:rsidRDefault="00F13F1D" w:rsidP="00B61D82">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circumstances in which the solicitor or representative may intervene.</w:t>
            </w:r>
          </w:p>
        </w:tc>
      </w:tr>
      <w:tr w:rsidR="00F13F1D" w14:paraId="4ABCCEC2" w14:textId="77777777" w:rsidTr="00F13F1D">
        <w:tc>
          <w:tcPr>
            <w:tcW w:w="1638" w:type="pct"/>
            <w:vMerge/>
          </w:tcPr>
          <w:p w14:paraId="4224DC54" w14:textId="77777777" w:rsidR="00F13F1D" w:rsidRDefault="00F13F1D" w:rsidP="0001106F">
            <w:pPr>
              <w:pStyle w:val="ListParagraph"/>
              <w:numPr>
                <w:ilvl w:val="0"/>
                <w:numId w:val="16"/>
              </w:numPr>
            </w:pPr>
          </w:p>
        </w:tc>
        <w:tc>
          <w:tcPr>
            <w:tcW w:w="1712" w:type="pct"/>
          </w:tcPr>
          <w:p w14:paraId="04129833" w14:textId="59D4F1FF" w:rsidR="00F13F1D" w:rsidRPr="000179AF" w:rsidRDefault="00F13F1D" w:rsidP="000179AF">
            <w:pPr>
              <w:pStyle w:val="ListParagraph"/>
              <w:numPr>
                <w:ilvl w:val="0"/>
                <w:numId w:val="17"/>
              </w:numPr>
              <w:rPr>
                <w:rFonts w:ascii="Arial" w:eastAsia="Arial" w:hAnsi="Arial" w:cs="Arial"/>
                <w:color w:val="000000"/>
              </w:rPr>
            </w:pPr>
            <w:r w:rsidRPr="000179AF">
              <w:rPr>
                <w:rFonts w:ascii="Arial" w:eastAsia="Arial" w:hAnsi="Arial" w:cs="Arial"/>
                <w:color w:val="000000"/>
              </w:rPr>
              <w:t>Seek to ensure that the police interviewer complies with the regulatory requirements governing police interviews</w:t>
            </w:r>
          </w:p>
        </w:tc>
        <w:tc>
          <w:tcPr>
            <w:tcW w:w="1650" w:type="pct"/>
          </w:tcPr>
          <w:p w14:paraId="0DD57DF1" w14:textId="6E618F46" w:rsidR="00F13F1D" w:rsidRDefault="00F13F1D"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know and understand how the PACE 1984 and the Codes of Practice regulate the matters listed below, and seek to ensure that they are complied with:</w:t>
            </w:r>
          </w:p>
          <w:p w14:paraId="0912DC65" w14:textId="77777777" w:rsidR="00F13F1D" w:rsidRDefault="00F13F1D" w:rsidP="00DC6E9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recording of the interview</w:t>
            </w:r>
          </w:p>
          <w:p w14:paraId="2270819C" w14:textId="77777777" w:rsidR="00F13F1D" w:rsidRDefault="00F13F1D" w:rsidP="00DC6E9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stating and (where appropriate) explaining the caution</w:t>
            </w:r>
          </w:p>
          <w:p w14:paraId="02BF3A0A" w14:textId="77777777" w:rsidR="00F13F1D" w:rsidRDefault="00F13F1D" w:rsidP="00DC6E9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persons who may be, or who should be, present at the interview</w:t>
            </w:r>
          </w:p>
          <w:p w14:paraId="3DEDB9E4" w14:textId="446B851B" w:rsidR="00F13F1D" w:rsidRDefault="00F13F1D" w:rsidP="00DC6E9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physical conditions of the interview room</w:t>
            </w:r>
          </w:p>
          <w:p w14:paraId="6BDE3286" w14:textId="22175C2F" w:rsidR="00F13F1D" w:rsidRDefault="00F13F1D" w:rsidP="00DC6E9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circumstances in which an interview should be suspended, for example, to ensure regular breaks, or a rest period.</w:t>
            </w:r>
          </w:p>
          <w:p w14:paraId="0521B2DF" w14:textId="77777777" w:rsidR="00F13F1D" w:rsidRDefault="00F13F1D" w:rsidP="00DC6E9B">
            <w:pPr>
              <w:tabs>
                <w:tab w:val="left" w:pos="317"/>
              </w:tabs>
              <w:spacing w:line="249" w:lineRule="exact"/>
              <w:textAlignment w:val="baseline"/>
              <w:rPr>
                <w:rFonts w:ascii="Arial" w:eastAsia="Arial" w:hAnsi="Arial" w:cs="Arial"/>
                <w:color w:val="000000"/>
              </w:rPr>
            </w:pPr>
          </w:p>
          <w:p w14:paraId="58658C1B" w14:textId="69FC1650" w:rsidR="00F13F1D" w:rsidRPr="00DC6E9B" w:rsidRDefault="00F13F1D" w:rsidP="00DC6E9B">
            <w:pPr>
              <w:tabs>
                <w:tab w:val="left" w:pos="317"/>
              </w:tabs>
              <w:spacing w:line="249" w:lineRule="exact"/>
              <w:textAlignment w:val="baseline"/>
              <w:rPr>
                <w:rFonts w:ascii="Arial" w:eastAsia="Arial" w:hAnsi="Arial" w:cs="Arial"/>
                <w:color w:val="000000"/>
              </w:rPr>
            </w:pPr>
            <w:r>
              <w:rPr>
                <w:rFonts w:ascii="Arial" w:eastAsia="Arial" w:hAnsi="Arial" w:cs="Arial"/>
                <w:color w:val="000000"/>
              </w:rPr>
              <w:t>Appropriate action should be taken where the provisions are not complied with.</w:t>
            </w:r>
          </w:p>
        </w:tc>
      </w:tr>
      <w:tr w:rsidR="00F13F1D" w14:paraId="7DD2E6B9" w14:textId="77777777" w:rsidTr="00F13F1D">
        <w:tc>
          <w:tcPr>
            <w:tcW w:w="1638" w:type="pct"/>
            <w:vMerge/>
          </w:tcPr>
          <w:p w14:paraId="79FC8913" w14:textId="77777777" w:rsidR="00F13F1D" w:rsidRDefault="00F13F1D" w:rsidP="0001106F">
            <w:pPr>
              <w:pStyle w:val="ListParagraph"/>
              <w:numPr>
                <w:ilvl w:val="0"/>
                <w:numId w:val="16"/>
              </w:numPr>
            </w:pPr>
          </w:p>
        </w:tc>
        <w:tc>
          <w:tcPr>
            <w:tcW w:w="1712" w:type="pct"/>
          </w:tcPr>
          <w:p w14:paraId="360B6ADF" w14:textId="5D9F739D" w:rsidR="00F13F1D" w:rsidRPr="000179AF" w:rsidRDefault="00F13F1D" w:rsidP="000179AF">
            <w:pPr>
              <w:pStyle w:val="ListParagraph"/>
              <w:numPr>
                <w:ilvl w:val="0"/>
                <w:numId w:val="17"/>
              </w:numPr>
              <w:rPr>
                <w:rFonts w:ascii="Arial" w:eastAsia="Arial" w:hAnsi="Arial" w:cs="Arial"/>
                <w:color w:val="000000"/>
              </w:rPr>
            </w:pPr>
            <w:r w:rsidRPr="000179AF">
              <w:rPr>
                <w:rFonts w:ascii="Arial" w:eastAsia="Arial" w:hAnsi="Arial" w:cs="Arial"/>
                <w:color w:val="000000"/>
              </w:rPr>
              <w:t>Know and understand the circumstances in which a police interview should stop</w:t>
            </w:r>
          </w:p>
          <w:p w14:paraId="7731CFD7" w14:textId="343168F8" w:rsidR="00F13F1D" w:rsidRPr="00DC6E9B" w:rsidRDefault="00F13F1D" w:rsidP="00DC6E9B">
            <w:pPr>
              <w:rPr>
                <w:rFonts w:ascii="Arial" w:eastAsia="Arial" w:hAnsi="Arial" w:cs="Arial"/>
                <w:color w:val="000000"/>
              </w:rPr>
            </w:pPr>
          </w:p>
        </w:tc>
        <w:tc>
          <w:tcPr>
            <w:tcW w:w="1650" w:type="pct"/>
          </w:tcPr>
          <w:p w14:paraId="02544E3A" w14:textId="0941CCFB" w:rsidR="00F13F1D" w:rsidRDefault="00F13F1D" w:rsidP="000E0DAD">
            <w:pPr>
              <w:rPr>
                <w:rFonts w:ascii="Arial" w:eastAsia="Arial" w:hAnsi="Arial" w:cs="Arial"/>
                <w:color w:val="000000"/>
              </w:rPr>
            </w:pPr>
            <w:r>
              <w:rPr>
                <w:rFonts w:ascii="Arial" w:eastAsia="Arial" w:hAnsi="Arial" w:cs="Arial"/>
                <w:color w:val="000000"/>
              </w:rPr>
              <w:t>The solicitor or representative should know and understand the circumstances in which an interview should cease and/or when a decision regarding charge should be made.</w:t>
            </w:r>
          </w:p>
          <w:p w14:paraId="5F6FE219" w14:textId="77777777" w:rsidR="00F13F1D" w:rsidRDefault="00F13F1D" w:rsidP="000E0DAD">
            <w:pPr>
              <w:rPr>
                <w:rFonts w:ascii="Arial" w:eastAsia="Arial" w:hAnsi="Arial" w:cs="Arial"/>
                <w:color w:val="000000"/>
              </w:rPr>
            </w:pPr>
          </w:p>
          <w:p w14:paraId="28A56203" w14:textId="77777777" w:rsidR="00F13F1D" w:rsidRDefault="00F13F1D" w:rsidP="000E0DAD">
            <w:pPr>
              <w:rPr>
                <w:rFonts w:ascii="Arial" w:eastAsia="Arial" w:hAnsi="Arial" w:cs="Arial"/>
                <w:color w:val="000000"/>
              </w:rPr>
            </w:pPr>
            <w:r>
              <w:rPr>
                <w:rFonts w:ascii="Arial" w:eastAsia="Arial" w:hAnsi="Arial" w:cs="Arial"/>
                <w:color w:val="000000"/>
              </w:rPr>
              <w:t>Interviewing must cease when:</w:t>
            </w:r>
          </w:p>
          <w:p w14:paraId="02322627" w14:textId="58EE457D" w:rsidR="00F13F1D" w:rsidRDefault="00F13F1D" w:rsidP="00E90CFE">
            <w:pPr>
              <w:pStyle w:val="ListParagraph"/>
              <w:numPr>
                <w:ilvl w:val="0"/>
                <w:numId w:val="12"/>
              </w:numPr>
              <w:rPr>
                <w:rFonts w:ascii="Arial" w:eastAsia="Arial" w:hAnsi="Arial" w:cs="Arial"/>
                <w:color w:val="000000"/>
              </w:rPr>
            </w:pPr>
            <w:r>
              <w:rPr>
                <w:rFonts w:ascii="Arial" w:eastAsia="Arial" w:hAnsi="Arial" w:cs="Arial"/>
                <w:color w:val="000000"/>
              </w:rPr>
              <w:t>the officer in charge of the investigation is satisfied that all the questions the officer considers relevant to obtaining accurate and reliable information about the suspect offence have been put to the suspect</w:t>
            </w:r>
          </w:p>
          <w:p w14:paraId="277D2C16" w14:textId="77777777" w:rsidR="00F13F1D" w:rsidRDefault="00F13F1D" w:rsidP="00E90CFE">
            <w:pPr>
              <w:pStyle w:val="ListParagraph"/>
              <w:numPr>
                <w:ilvl w:val="0"/>
                <w:numId w:val="12"/>
              </w:numPr>
              <w:rPr>
                <w:rFonts w:ascii="Arial" w:eastAsia="Arial" w:hAnsi="Arial" w:cs="Arial"/>
                <w:color w:val="000000"/>
              </w:rPr>
            </w:pPr>
            <w:r>
              <w:rPr>
                <w:rFonts w:ascii="Arial" w:eastAsia="Arial" w:hAnsi="Arial" w:cs="Arial"/>
                <w:color w:val="000000"/>
              </w:rPr>
              <w:lastRenderedPageBreak/>
              <w:t>the officer in charge of the investigation has taken account of any other available evidence</w:t>
            </w:r>
          </w:p>
          <w:p w14:paraId="4CFF6BAF" w14:textId="5F87A90F" w:rsidR="00F13F1D" w:rsidRPr="00E90CFE" w:rsidRDefault="00F13F1D" w:rsidP="00E90CFE">
            <w:pPr>
              <w:pStyle w:val="ListParagraph"/>
              <w:numPr>
                <w:ilvl w:val="0"/>
                <w:numId w:val="12"/>
              </w:numPr>
              <w:rPr>
                <w:rFonts w:ascii="Arial" w:eastAsia="Arial" w:hAnsi="Arial" w:cs="Arial"/>
                <w:color w:val="000000"/>
              </w:rPr>
            </w:pPr>
            <w:r>
              <w:rPr>
                <w:rFonts w:ascii="Arial" w:eastAsia="Arial" w:hAnsi="Arial" w:cs="Arial"/>
                <w:color w:val="000000"/>
              </w:rPr>
              <w:t>the officer in charge of the investigation, or in the case of a detained suspect, the custody officer, reasonably believes there is sufficient evidence to [provide a realistic prospect of conviction for the offence in respect of which the suspect is being interviewed (Code C para. 11.6).</w:t>
            </w:r>
          </w:p>
        </w:tc>
      </w:tr>
      <w:tr w:rsidR="00F13F1D" w14:paraId="47F5EB37" w14:textId="77777777" w:rsidTr="00F13F1D">
        <w:tc>
          <w:tcPr>
            <w:tcW w:w="1638" w:type="pct"/>
            <w:vMerge w:val="restart"/>
          </w:tcPr>
          <w:p w14:paraId="073BBFDB" w14:textId="77777777" w:rsidR="00F13F1D" w:rsidRDefault="00F13F1D" w:rsidP="0001106F">
            <w:pPr>
              <w:pStyle w:val="ListParagraph"/>
              <w:numPr>
                <w:ilvl w:val="0"/>
                <w:numId w:val="16"/>
              </w:numPr>
            </w:pPr>
            <w:r>
              <w:lastRenderedPageBreak/>
              <w:t>Advise the client during the interview</w:t>
            </w:r>
          </w:p>
        </w:tc>
        <w:tc>
          <w:tcPr>
            <w:tcW w:w="1712" w:type="pct"/>
          </w:tcPr>
          <w:p w14:paraId="077DE739" w14:textId="3EEB246F" w:rsidR="00F13F1D" w:rsidRPr="005D612F" w:rsidRDefault="00F13F1D" w:rsidP="005D612F">
            <w:pPr>
              <w:pStyle w:val="ListParagraph"/>
              <w:numPr>
                <w:ilvl w:val="0"/>
                <w:numId w:val="18"/>
              </w:numPr>
              <w:rPr>
                <w:rFonts w:ascii="Arial" w:eastAsia="Arial" w:hAnsi="Arial" w:cs="Arial"/>
                <w:color w:val="000000"/>
              </w:rPr>
            </w:pPr>
            <w:r w:rsidRPr="005D612F">
              <w:rPr>
                <w:rFonts w:ascii="Arial" w:eastAsia="Arial" w:hAnsi="Arial" w:cs="Arial"/>
                <w:color w:val="000000"/>
              </w:rPr>
              <w:t>Demonstrate a practical understanding of their role and objectives in a police interview</w:t>
            </w:r>
          </w:p>
        </w:tc>
        <w:tc>
          <w:tcPr>
            <w:tcW w:w="1650" w:type="pct"/>
          </w:tcPr>
          <w:p w14:paraId="70279B01" w14:textId="02B93132" w:rsidR="00F13F1D" w:rsidRDefault="00F13F1D"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objectives of the solicitor or representative in a police interview are:</w:t>
            </w:r>
          </w:p>
          <w:p w14:paraId="616512D7" w14:textId="77777777" w:rsidR="00F13F1D" w:rsidRDefault="00F13F1D" w:rsidP="00102725">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ensure that the police act fairly at all times and observe the requirements of the PACE 1984 and the Codes of Practice</w:t>
            </w:r>
          </w:p>
          <w:p w14:paraId="555B58F4" w14:textId="77777777" w:rsidR="00F13F1D" w:rsidRDefault="00F13F1D" w:rsidP="00102725">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ensure that the client does their best in interview, whether or not they are answering questions</w:t>
            </w:r>
          </w:p>
          <w:p w14:paraId="041C2CF8" w14:textId="3427297A" w:rsidR="00F13F1D" w:rsidRDefault="00F13F1D" w:rsidP="00102725">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protect the client from unnecessary or inappropriate pressure and distress and, in particular, to protect a vulnerable client</w:t>
            </w:r>
          </w:p>
          <w:p w14:paraId="04BEC9E2" w14:textId="77777777" w:rsidR="00F13F1D" w:rsidRPr="00102725" w:rsidRDefault="00F13F1D" w:rsidP="00102725">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ensure that an accurate account is kept of the interview, and that they keep their own record.</w:t>
            </w:r>
          </w:p>
        </w:tc>
      </w:tr>
      <w:tr w:rsidR="00F13F1D" w14:paraId="7902AA15" w14:textId="77777777" w:rsidTr="00F13F1D">
        <w:tc>
          <w:tcPr>
            <w:tcW w:w="1638" w:type="pct"/>
            <w:vMerge/>
          </w:tcPr>
          <w:p w14:paraId="773193B8" w14:textId="77777777" w:rsidR="00F13F1D" w:rsidRDefault="00F13F1D" w:rsidP="0001106F">
            <w:pPr>
              <w:pStyle w:val="ListParagraph"/>
              <w:numPr>
                <w:ilvl w:val="0"/>
                <w:numId w:val="16"/>
              </w:numPr>
            </w:pPr>
          </w:p>
        </w:tc>
        <w:tc>
          <w:tcPr>
            <w:tcW w:w="1712" w:type="pct"/>
          </w:tcPr>
          <w:p w14:paraId="57A7976C" w14:textId="0DBC80D2" w:rsidR="00F13F1D" w:rsidRPr="005D612F" w:rsidRDefault="00F13F1D" w:rsidP="005D612F">
            <w:pPr>
              <w:pStyle w:val="ListParagraph"/>
              <w:numPr>
                <w:ilvl w:val="0"/>
                <w:numId w:val="18"/>
              </w:numPr>
              <w:rPr>
                <w:rFonts w:ascii="Arial" w:eastAsia="Arial" w:hAnsi="Arial" w:cs="Arial"/>
                <w:color w:val="000000"/>
              </w:rPr>
            </w:pPr>
            <w:r w:rsidRPr="005D612F">
              <w:rPr>
                <w:rFonts w:ascii="Arial" w:eastAsia="Arial" w:hAnsi="Arial" w:cs="Arial"/>
                <w:color w:val="000000"/>
              </w:rPr>
              <w:t>Advise or assist the client without stopping the interview, when appropriate</w:t>
            </w:r>
          </w:p>
        </w:tc>
        <w:tc>
          <w:tcPr>
            <w:tcW w:w="1650" w:type="pct"/>
          </w:tcPr>
          <w:p w14:paraId="795EC37D" w14:textId="0989EE00" w:rsidR="00F13F1D" w:rsidRDefault="00F13F1D"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may advise or assist the client without stopping the interview, for example:</w:t>
            </w:r>
          </w:p>
          <w:p w14:paraId="1173EE92" w14:textId="77777777" w:rsidR="00F13F1D" w:rsidRDefault="00F13F1D" w:rsidP="00E17738">
            <w:pPr>
              <w:pStyle w:val="ListParagraph"/>
              <w:numPr>
                <w:ilvl w:val="0"/>
                <w:numId w:val="1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remind them of a decision that they previously took, for example, not to answer questions</w:t>
            </w:r>
          </w:p>
          <w:p w14:paraId="2CE18F64" w14:textId="77777777" w:rsidR="00F13F1D" w:rsidRDefault="00F13F1D" w:rsidP="00E17738">
            <w:pPr>
              <w:pStyle w:val="ListParagraph"/>
              <w:numPr>
                <w:ilvl w:val="0"/>
                <w:numId w:val="1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assist them to understand a question that has been put to them</w:t>
            </w:r>
          </w:p>
          <w:p w14:paraId="5368DD67" w14:textId="56A14DBA" w:rsidR="00F13F1D" w:rsidRPr="00E17738" w:rsidRDefault="00F13F1D" w:rsidP="00E17738">
            <w:pPr>
              <w:pStyle w:val="ListParagraph"/>
              <w:numPr>
                <w:ilvl w:val="0"/>
                <w:numId w:val="1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to ensure that they have answered a question clearly and, in the way, intended.</w:t>
            </w:r>
          </w:p>
        </w:tc>
      </w:tr>
      <w:tr w:rsidR="00F13F1D" w14:paraId="0F4BB1C1" w14:textId="77777777" w:rsidTr="00F13F1D">
        <w:tc>
          <w:tcPr>
            <w:tcW w:w="1638" w:type="pct"/>
            <w:vMerge/>
          </w:tcPr>
          <w:p w14:paraId="2389A5ED" w14:textId="77777777" w:rsidR="00F13F1D" w:rsidRDefault="00F13F1D" w:rsidP="0001106F">
            <w:pPr>
              <w:pStyle w:val="ListParagraph"/>
              <w:numPr>
                <w:ilvl w:val="0"/>
                <w:numId w:val="16"/>
              </w:numPr>
            </w:pPr>
          </w:p>
        </w:tc>
        <w:tc>
          <w:tcPr>
            <w:tcW w:w="1712" w:type="pct"/>
          </w:tcPr>
          <w:p w14:paraId="4954ABCB" w14:textId="32FD99FB" w:rsidR="00F13F1D" w:rsidRPr="005D612F" w:rsidRDefault="00F13F1D" w:rsidP="005D612F">
            <w:pPr>
              <w:pStyle w:val="ListParagraph"/>
              <w:numPr>
                <w:ilvl w:val="0"/>
                <w:numId w:val="18"/>
              </w:numPr>
              <w:rPr>
                <w:rFonts w:ascii="Arial" w:eastAsia="Arial" w:hAnsi="Arial" w:cs="Arial"/>
                <w:color w:val="000000"/>
              </w:rPr>
            </w:pPr>
            <w:r w:rsidRPr="005D612F">
              <w:rPr>
                <w:rFonts w:ascii="Arial" w:eastAsia="Arial" w:hAnsi="Arial" w:cs="Arial"/>
                <w:color w:val="000000"/>
              </w:rPr>
              <w:t xml:space="preserve">Stop the interview </w:t>
            </w:r>
            <w:proofErr w:type="gramStart"/>
            <w:r w:rsidRPr="005D612F">
              <w:rPr>
                <w:rFonts w:ascii="Arial" w:eastAsia="Arial" w:hAnsi="Arial" w:cs="Arial"/>
                <w:color w:val="000000"/>
              </w:rPr>
              <w:t>in order to</w:t>
            </w:r>
            <w:proofErr w:type="gramEnd"/>
            <w:r w:rsidRPr="005D612F">
              <w:rPr>
                <w:rFonts w:ascii="Arial" w:eastAsia="Arial" w:hAnsi="Arial" w:cs="Arial"/>
                <w:color w:val="000000"/>
              </w:rPr>
              <w:t xml:space="preserve"> give the client legal advice in private, when appropriate</w:t>
            </w:r>
          </w:p>
        </w:tc>
        <w:tc>
          <w:tcPr>
            <w:tcW w:w="1650" w:type="pct"/>
          </w:tcPr>
          <w:p w14:paraId="66745292" w14:textId="77777777" w:rsidR="00F13F1D" w:rsidRDefault="00F13F1D"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A suspect is entitled to legal advice in private at any time (PACE 1984 s58(1)). The solicitor or representative may advise that the interview be stopped or suspended, in a range of circumstances, including:</w:t>
            </w:r>
          </w:p>
          <w:p w14:paraId="46AF8A29" w14:textId="3C628935" w:rsidR="00F13F1D" w:rsidRDefault="00F13F1D" w:rsidP="00E17738">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client is becoming distressed or confused</w:t>
            </w:r>
          </w:p>
          <w:p w14:paraId="45BC23A4" w14:textId="59D1222B" w:rsidR="00F13F1D" w:rsidRDefault="00F13F1D" w:rsidP="00E17738">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client is having difficult in continuing with a strategy previously determined, for example, they begin to answer questions having previously decided that they would not answer questions</w:t>
            </w:r>
          </w:p>
          <w:p w14:paraId="504F5A65" w14:textId="0AA20869" w:rsidR="00F13F1D" w:rsidRPr="00E17738" w:rsidRDefault="00F13F1D" w:rsidP="00E17738">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police interviewer is acting inappropriately or unlawfully.</w:t>
            </w:r>
          </w:p>
        </w:tc>
      </w:tr>
      <w:tr w:rsidR="00F13F1D" w14:paraId="14E2BC8B" w14:textId="77777777" w:rsidTr="00F13F1D">
        <w:tc>
          <w:tcPr>
            <w:tcW w:w="1638" w:type="pct"/>
            <w:vMerge/>
          </w:tcPr>
          <w:p w14:paraId="1BEA6F39" w14:textId="77777777" w:rsidR="00F13F1D" w:rsidRDefault="00F13F1D" w:rsidP="0001106F">
            <w:pPr>
              <w:pStyle w:val="ListParagraph"/>
              <w:numPr>
                <w:ilvl w:val="0"/>
                <w:numId w:val="16"/>
              </w:numPr>
            </w:pPr>
          </w:p>
        </w:tc>
        <w:tc>
          <w:tcPr>
            <w:tcW w:w="1712" w:type="pct"/>
          </w:tcPr>
          <w:p w14:paraId="684B9205" w14:textId="6E8B5C2F" w:rsidR="00F13F1D" w:rsidRPr="005D612F" w:rsidRDefault="00F13F1D" w:rsidP="005D612F">
            <w:pPr>
              <w:pStyle w:val="ListParagraph"/>
              <w:numPr>
                <w:ilvl w:val="0"/>
                <w:numId w:val="18"/>
              </w:numPr>
              <w:rPr>
                <w:rFonts w:ascii="Arial" w:eastAsia="Arial" w:hAnsi="Arial" w:cs="Arial"/>
                <w:color w:val="000000"/>
              </w:rPr>
            </w:pPr>
            <w:r w:rsidRPr="005D612F">
              <w:rPr>
                <w:rFonts w:ascii="Arial" w:eastAsia="Arial" w:hAnsi="Arial" w:cs="Arial"/>
                <w:color w:val="000000"/>
              </w:rPr>
              <w:t>Recognise and respond appropriately to police conduct that requires intervention by the solicitor or representative</w:t>
            </w:r>
          </w:p>
        </w:tc>
        <w:tc>
          <w:tcPr>
            <w:tcW w:w="1650" w:type="pct"/>
          </w:tcPr>
          <w:p w14:paraId="4F7E1A70" w14:textId="77777777" w:rsidR="00F13F1D" w:rsidRDefault="00F13F1D" w:rsidP="000E0DAD">
            <w:pPr>
              <w:rPr>
                <w:rFonts w:ascii="Arial" w:eastAsia="Arial" w:hAnsi="Arial" w:cs="Arial"/>
                <w:color w:val="000000"/>
              </w:rPr>
            </w:pPr>
            <w:r>
              <w:rPr>
                <w:rFonts w:ascii="Arial" w:eastAsia="Arial" w:hAnsi="Arial" w:cs="Arial"/>
                <w:color w:val="000000"/>
              </w:rPr>
              <w:t>The solicitor or representative should know and be able to recognise the circumstances in which they should intervene in a police interview, and be able to respond appropriately, particularly in respect of:</w:t>
            </w:r>
          </w:p>
          <w:p w14:paraId="33C90DEF" w14:textId="77777777" w:rsidR="00F13F1D" w:rsidRPr="00D426CE" w:rsidRDefault="00F13F1D" w:rsidP="000E0DAD">
            <w:pPr>
              <w:pStyle w:val="ListParagraph"/>
              <w:numPr>
                <w:ilvl w:val="0"/>
                <w:numId w:val="11"/>
              </w:numPr>
              <w:rPr>
                <w:rFonts w:ascii="Arial" w:eastAsia="Arial" w:hAnsi="Arial" w:cs="Arial"/>
                <w:color w:val="000000"/>
              </w:rPr>
            </w:pPr>
            <w:r>
              <w:rPr>
                <w:rFonts w:ascii="Arial" w:eastAsia="Arial" w:hAnsi="Arial" w:cs="Arial"/>
                <w:color w:val="000000"/>
              </w:rPr>
              <w:t>breach of relevant provisions of PACE or the Codes of Practice</w:t>
            </w:r>
          </w:p>
          <w:p w14:paraId="43285C18" w14:textId="77777777" w:rsidR="00F13F1D" w:rsidRPr="00ED50DD" w:rsidRDefault="00F13F1D" w:rsidP="000E0DAD">
            <w:pPr>
              <w:pStyle w:val="ListParagraph"/>
              <w:numPr>
                <w:ilvl w:val="0"/>
                <w:numId w:val="7"/>
              </w:numPr>
              <w:rPr>
                <w:rFonts w:ascii="Arial" w:eastAsia="Arial" w:hAnsi="Arial" w:cs="Arial"/>
                <w:color w:val="000000"/>
              </w:rPr>
            </w:pPr>
            <w:r w:rsidRPr="00ED50DD">
              <w:rPr>
                <w:rFonts w:ascii="Arial" w:eastAsia="Arial" w:hAnsi="Arial" w:cs="Arial"/>
                <w:color w:val="000000"/>
              </w:rPr>
              <w:t xml:space="preserve">improper </w:t>
            </w:r>
            <w:r>
              <w:rPr>
                <w:rFonts w:ascii="Arial" w:eastAsia="Arial" w:hAnsi="Arial" w:cs="Arial"/>
                <w:color w:val="000000"/>
              </w:rPr>
              <w:t>or unfair interview techniques or questions</w:t>
            </w:r>
          </w:p>
          <w:p w14:paraId="1245E3E1" w14:textId="77777777" w:rsidR="00F13F1D" w:rsidRDefault="00F13F1D" w:rsidP="000E0DAD">
            <w:pPr>
              <w:pStyle w:val="ListParagraph"/>
              <w:numPr>
                <w:ilvl w:val="0"/>
                <w:numId w:val="7"/>
              </w:numPr>
              <w:rPr>
                <w:rFonts w:ascii="Arial" w:eastAsia="Arial" w:hAnsi="Arial" w:cs="Arial"/>
                <w:color w:val="000000"/>
              </w:rPr>
            </w:pPr>
            <w:r w:rsidRPr="00ED50DD">
              <w:rPr>
                <w:rFonts w:ascii="Arial" w:eastAsia="Arial" w:hAnsi="Arial" w:cs="Arial"/>
                <w:color w:val="000000"/>
              </w:rPr>
              <w:t xml:space="preserve">attempts to undermine a decision by the client to exercise </w:t>
            </w:r>
            <w:r>
              <w:rPr>
                <w:rFonts w:ascii="Arial" w:eastAsia="Arial" w:hAnsi="Arial" w:cs="Arial"/>
                <w:color w:val="000000"/>
              </w:rPr>
              <w:t>their</w:t>
            </w:r>
            <w:r w:rsidRPr="00ED50DD">
              <w:rPr>
                <w:rFonts w:ascii="Arial" w:eastAsia="Arial" w:hAnsi="Arial" w:cs="Arial"/>
                <w:color w:val="000000"/>
              </w:rPr>
              <w:t xml:space="preserve"> right to silence</w:t>
            </w:r>
          </w:p>
          <w:p w14:paraId="362DC4C6" w14:textId="0529591F" w:rsidR="00F13F1D" w:rsidRPr="000E0DAD" w:rsidRDefault="00F13F1D" w:rsidP="000E0DAD">
            <w:pPr>
              <w:pStyle w:val="ListParagraph"/>
              <w:numPr>
                <w:ilvl w:val="0"/>
                <w:numId w:val="7"/>
              </w:numPr>
              <w:rPr>
                <w:rFonts w:ascii="Arial" w:eastAsia="Arial" w:hAnsi="Arial" w:cs="Arial"/>
                <w:color w:val="000000"/>
              </w:rPr>
            </w:pPr>
            <w:r w:rsidRPr="000E0DAD">
              <w:rPr>
                <w:rFonts w:ascii="Arial" w:eastAsia="Arial" w:hAnsi="Arial" w:cs="Arial"/>
                <w:color w:val="000000"/>
              </w:rPr>
              <w:t>attempts to undermine or exclude the solicitor or representative</w:t>
            </w:r>
            <w:r>
              <w:rPr>
                <w:rFonts w:ascii="Arial" w:eastAsia="Arial" w:hAnsi="Arial" w:cs="Arial"/>
                <w:color w:val="000000"/>
              </w:rPr>
              <w:t>.</w:t>
            </w:r>
          </w:p>
        </w:tc>
      </w:tr>
      <w:tr w:rsidR="00F13F1D" w14:paraId="0CF8BA3C" w14:textId="77777777" w:rsidTr="00F13F1D">
        <w:tc>
          <w:tcPr>
            <w:tcW w:w="1638" w:type="pct"/>
            <w:vMerge/>
          </w:tcPr>
          <w:p w14:paraId="37830A2A" w14:textId="77777777" w:rsidR="00F13F1D" w:rsidRDefault="00F13F1D" w:rsidP="0001106F">
            <w:pPr>
              <w:pStyle w:val="ListParagraph"/>
              <w:numPr>
                <w:ilvl w:val="0"/>
                <w:numId w:val="16"/>
              </w:numPr>
            </w:pPr>
          </w:p>
        </w:tc>
        <w:tc>
          <w:tcPr>
            <w:tcW w:w="1712" w:type="pct"/>
          </w:tcPr>
          <w:p w14:paraId="1409E446" w14:textId="0D48EAD3" w:rsidR="00F13F1D" w:rsidRPr="005D612F" w:rsidRDefault="00F13F1D" w:rsidP="005D612F">
            <w:pPr>
              <w:pStyle w:val="ListParagraph"/>
              <w:numPr>
                <w:ilvl w:val="0"/>
                <w:numId w:val="18"/>
              </w:numPr>
              <w:rPr>
                <w:rFonts w:ascii="Arial" w:eastAsia="Arial" w:hAnsi="Arial" w:cs="Arial"/>
                <w:color w:val="000000"/>
              </w:rPr>
            </w:pPr>
            <w:r w:rsidRPr="005D612F">
              <w:rPr>
                <w:rFonts w:ascii="Arial" w:eastAsia="Arial" w:hAnsi="Arial" w:cs="Arial"/>
                <w:color w:val="000000"/>
              </w:rPr>
              <w:t>Make an appropriate record of the interview</w:t>
            </w:r>
          </w:p>
        </w:tc>
        <w:tc>
          <w:tcPr>
            <w:tcW w:w="1650" w:type="pct"/>
          </w:tcPr>
          <w:p w14:paraId="0B1C508C" w14:textId="77777777" w:rsidR="00F13F1D" w:rsidRDefault="00F13F1D"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make a sufficient record of the interview to enable them to:</w:t>
            </w:r>
          </w:p>
          <w:p w14:paraId="12B5F719" w14:textId="77777777" w:rsidR="00F13F1D" w:rsidRDefault="00F13F1D" w:rsidP="005D01F0">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correct the interviewing officer if he or she attributes a statement to the client which he or she did not make</w:t>
            </w:r>
          </w:p>
          <w:p w14:paraId="3EC497C2" w14:textId="77777777" w:rsidR="00F13F1D" w:rsidRDefault="00F13F1D" w:rsidP="005D01F0">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ensure that the client has said all that they wish to say</w:t>
            </w:r>
          </w:p>
          <w:p w14:paraId="72D4B7F4" w14:textId="77777777" w:rsidR="00F13F1D" w:rsidRDefault="00F13F1D" w:rsidP="005D01F0">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provide advice after the interview and, if relevant, before a subsequent interview</w:t>
            </w:r>
          </w:p>
          <w:p w14:paraId="5A87208D" w14:textId="1E4CBDD9" w:rsidR="00F13F1D" w:rsidRPr="005D01F0" w:rsidRDefault="00F13F1D" w:rsidP="005D01F0">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support representations regarding charge and/or bail.</w:t>
            </w:r>
          </w:p>
        </w:tc>
      </w:tr>
    </w:tbl>
    <w:p w14:paraId="65EF0384" w14:textId="77777777" w:rsidR="005932C2" w:rsidRDefault="005932C2" w:rsidP="00A6019B"/>
    <w:sectPr w:rsidR="005932C2" w:rsidSect="00593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CCF"/>
    <w:multiLevelType w:val="hybridMultilevel"/>
    <w:tmpl w:val="C6CC0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250F40"/>
    <w:multiLevelType w:val="hybridMultilevel"/>
    <w:tmpl w:val="9A48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676EB"/>
    <w:multiLevelType w:val="hybridMultilevel"/>
    <w:tmpl w:val="D8E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1FB0"/>
    <w:multiLevelType w:val="hybridMultilevel"/>
    <w:tmpl w:val="B6BE4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8612C"/>
    <w:multiLevelType w:val="hybridMultilevel"/>
    <w:tmpl w:val="2D88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F54CD"/>
    <w:multiLevelType w:val="hybridMultilevel"/>
    <w:tmpl w:val="8C5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E2771"/>
    <w:multiLevelType w:val="hybridMultilevel"/>
    <w:tmpl w:val="88E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1552F"/>
    <w:multiLevelType w:val="hybridMultilevel"/>
    <w:tmpl w:val="B0948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4A6713"/>
    <w:multiLevelType w:val="hybridMultilevel"/>
    <w:tmpl w:val="2F5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152FD"/>
    <w:multiLevelType w:val="hybridMultilevel"/>
    <w:tmpl w:val="FC086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610297"/>
    <w:multiLevelType w:val="hybridMultilevel"/>
    <w:tmpl w:val="2848D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587C66"/>
    <w:multiLevelType w:val="hybridMultilevel"/>
    <w:tmpl w:val="6E20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7D66F3"/>
    <w:multiLevelType w:val="hybridMultilevel"/>
    <w:tmpl w:val="7E0AA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4C79CA"/>
    <w:multiLevelType w:val="hybridMultilevel"/>
    <w:tmpl w:val="2ED2A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5C1FDC"/>
    <w:multiLevelType w:val="hybridMultilevel"/>
    <w:tmpl w:val="DD7673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643FDA"/>
    <w:multiLevelType w:val="hybridMultilevel"/>
    <w:tmpl w:val="ABD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75857"/>
    <w:multiLevelType w:val="hybridMultilevel"/>
    <w:tmpl w:val="B39E32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DD02F4"/>
    <w:multiLevelType w:val="hybridMultilevel"/>
    <w:tmpl w:val="DE88B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6"/>
  </w:num>
  <w:num w:numId="6">
    <w:abstractNumId w:val="15"/>
  </w:num>
  <w:num w:numId="7">
    <w:abstractNumId w:val="1"/>
  </w:num>
  <w:num w:numId="8">
    <w:abstractNumId w:val="11"/>
  </w:num>
  <w:num w:numId="9">
    <w:abstractNumId w:val="17"/>
  </w:num>
  <w:num w:numId="10">
    <w:abstractNumId w:val="13"/>
  </w:num>
  <w:num w:numId="11">
    <w:abstractNumId w:val="7"/>
  </w:num>
  <w:num w:numId="12">
    <w:abstractNumId w:val="10"/>
  </w:num>
  <w:num w:numId="13">
    <w:abstractNumId w:val="9"/>
  </w:num>
  <w:num w:numId="14">
    <w:abstractNumId w:val="12"/>
  </w:num>
  <w:num w:numId="15">
    <w:abstractNumId w:val="3"/>
  </w:num>
  <w:num w:numId="16">
    <w:abstractNumId w:val="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2"/>
    <w:rsid w:val="0001106F"/>
    <w:rsid w:val="000179AF"/>
    <w:rsid w:val="00026CDB"/>
    <w:rsid w:val="00094024"/>
    <w:rsid w:val="000E0DAD"/>
    <w:rsid w:val="000F0038"/>
    <w:rsid w:val="00102725"/>
    <w:rsid w:val="001129B9"/>
    <w:rsid w:val="0018036F"/>
    <w:rsid w:val="001B764F"/>
    <w:rsid w:val="00222338"/>
    <w:rsid w:val="00256311"/>
    <w:rsid w:val="002E71C5"/>
    <w:rsid w:val="00370726"/>
    <w:rsid w:val="003810A3"/>
    <w:rsid w:val="003D5407"/>
    <w:rsid w:val="004174E4"/>
    <w:rsid w:val="00420F66"/>
    <w:rsid w:val="00463A31"/>
    <w:rsid w:val="0048538B"/>
    <w:rsid w:val="004D64E8"/>
    <w:rsid w:val="00515A7E"/>
    <w:rsid w:val="00527606"/>
    <w:rsid w:val="00536FC0"/>
    <w:rsid w:val="005932C2"/>
    <w:rsid w:val="005C7AF1"/>
    <w:rsid w:val="005D01F0"/>
    <w:rsid w:val="005D612F"/>
    <w:rsid w:val="005E11E8"/>
    <w:rsid w:val="005F53F6"/>
    <w:rsid w:val="006D200A"/>
    <w:rsid w:val="006D52AF"/>
    <w:rsid w:val="0071564C"/>
    <w:rsid w:val="00757729"/>
    <w:rsid w:val="00781B04"/>
    <w:rsid w:val="007B2523"/>
    <w:rsid w:val="008D2473"/>
    <w:rsid w:val="009667A1"/>
    <w:rsid w:val="009C7396"/>
    <w:rsid w:val="009E496B"/>
    <w:rsid w:val="00A6019B"/>
    <w:rsid w:val="00AC5925"/>
    <w:rsid w:val="00AE2B22"/>
    <w:rsid w:val="00B61D82"/>
    <w:rsid w:val="00B77FF7"/>
    <w:rsid w:val="00C36466"/>
    <w:rsid w:val="00CF5833"/>
    <w:rsid w:val="00D03A85"/>
    <w:rsid w:val="00D426CE"/>
    <w:rsid w:val="00D50E6C"/>
    <w:rsid w:val="00DC6E9B"/>
    <w:rsid w:val="00E17738"/>
    <w:rsid w:val="00E65C9F"/>
    <w:rsid w:val="00E74D58"/>
    <w:rsid w:val="00E8561C"/>
    <w:rsid w:val="00E90CFE"/>
    <w:rsid w:val="00ED50DD"/>
    <w:rsid w:val="00F13F1D"/>
    <w:rsid w:val="00F23AF3"/>
    <w:rsid w:val="00F26565"/>
    <w:rsid w:val="00FB06A2"/>
    <w:rsid w:val="00FC69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5CFB"/>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C2"/>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5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13</cp:revision>
  <dcterms:created xsi:type="dcterms:W3CDTF">2018-07-23T08:06:00Z</dcterms:created>
  <dcterms:modified xsi:type="dcterms:W3CDTF">2018-07-23T12:46:00Z</dcterms:modified>
</cp:coreProperties>
</file>